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1EB" w:rsidRPr="00E02897" w:rsidRDefault="007A41EB" w:rsidP="00907825">
      <w:pPr>
        <w:jc w:val="center"/>
        <w:rPr>
          <w:lang w:val="fr-FR"/>
        </w:rPr>
      </w:pPr>
      <w:bookmarkStart w:id="0" w:name="_GoBack"/>
      <w:bookmarkEnd w:id="0"/>
    </w:p>
    <w:p w:rsidR="007A41EB" w:rsidRPr="00E02897" w:rsidRDefault="007A41EB" w:rsidP="00907825">
      <w:pPr>
        <w:jc w:val="center"/>
        <w:rPr>
          <w:lang w:val="fr-FR"/>
        </w:rPr>
      </w:pPr>
    </w:p>
    <w:p w:rsidR="007A41EB" w:rsidRPr="00E02897" w:rsidRDefault="007A41EB" w:rsidP="00907825">
      <w:pPr>
        <w:pStyle w:val="DecHTitle"/>
        <w:rPr>
          <w:lang w:val="fr-FR"/>
        </w:rPr>
      </w:pPr>
      <w:r>
        <w:rPr>
          <w:szCs w:val="24"/>
          <w:lang w:val="fr-FR"/>
        </w:rPr>
        <w:t>DEUXIÈME SECTION</w:t>
      </w:r>
    </w:p>
    <w:p w:rsidR="007A41EB" w:rsidRPr="00E02897" w:rsidRDefault="007A41EB" w:rsidP="00907825">
      <w:pPr>
        <w:pStyle w:val="DecHTitle"/>
        <w:rPr>
          <w:caps/>
          <w:sz w:val="32"/>
          <w:lang w:val="fr-FR"/>
        </w:rPr>
      </w:pPr>
      <w:r w:rsidRPr="00E02897">
        <w:rPr>
          <w:lang w:val="fr-FR"/>
        </w:rPr>
        <w:t>DÉCISION</w:t>
      </w:r>
    </w:p>
    <w:p w:rsidR="007A41EB" w:rsidRPr="007C0B2A" w:rsidRDefault="007A41EB" w:rsidP="00907825">
      <w:pPr>
        <w:pStyle w:val="ECHRTitleCentre2"/>
        <w:rPr>
          <w:lang w:val="fr-FR"/>
        </w:rPr>
      </w:pPr>
      <w:r w:rsidRPr="007C0B2A">
        <w:rPr>
          <w:lang w:val="fr-FR"/>
        </w:rPr>
        <w:t>Requête n</w:t>
      </w:r>
      <w:r w:rsidRPr="007C0B2A">
        <w:rPr>
          <w:vertAlign w:val="superscript"/>
          <w:lang w:val="fr-FR"/>
        </w:rPr>
        <w:t>o</w:t>
      </w:r>
      <w:r w:rsidRPr="007C0B2A">
        <w:rPr>
          <w:lang w:val="fr-FR"/>
        </w:rPr>
        <w:t xml:space="preserve"> 27516/09</w:t>
      </w:r>
      <w:r w:rsidRPr="007C0B2A">
        <w:rPr>
          <w:lang w:val="fr-FR"/>
        </w:rPr>
        <w:br/>
        <w:t>Maurizio VIANELLO</w:t>
      </w:r>
      <w:r w:rsidRPr="007C0B2A">
        <w:rPr>
          <w:lang w:val="fr-FR"/>
        </w:rPr>
        <w:br/>
        <w:t>contre l</w:t>
      </w:r>
      <w:r>
        <w:rPr>
          <w:lang w:val="fr-FR"/>
        </w:rPr>
        <w:t>’</w:t>
      </w:r>
      <w:r w:rsidRPr="007C0B2A">
        <w:rPr>
          <w:lang w:val="fr-FR"/>
        </w:rPr>
        <w:t>Italie</w:t>
      </w:r>
    </w:p>
    <w:p w:rsidR="007A41EB" w:rsidRPr="00706345" w:rsidRDefault="007A41EB" w:rsidP="00C940F4">
      <w:pPr>
        <w:pStyle w:val="ECHRPara"/>
        <w:rPr>
          <w:lang w:val="fr-FR"/>
        </w:rPr>
      </w:pPr>
      <w:r w:rsidRPr="00706345">
        <w:rPr>
          <w:lang w:val="fr-FR"/>
        </w:rPr>
        <w:t>La Cour européenne des droits de l</w:t>
      </w:r>
      <w:r>
        <w:rPr>
          <w:lang w:val="fr-FR"/>
        </w:rPr>
        <w:t>’</w:t>
      </w:r>
      <w:r w:rsidRPr="00706345">
        <w:rPr>
          <w:lang w:val="fr-FR"/>
        </w:rPr>
        <w:t>homme (</w:t>
      </w:r>
      <w:r>
        <w:rPr>
          <w:lang w:val="fr-FR"/>
        </w:rPr>
        <w:t>deuxième section</w:t>
      </w:r>
      <w:r w:rsidRPr="00706345">
        <w:rPr>
          <w:lang w:val="fr-FR"/>
        </w:rPr>
        <w:t xml:space="preserve">), siégeant le </w:t>
      </w:r>
      <w:r>
        <w:rPr>
          <w:lang w:val="fr-FR"/>
        </w:rPr>
        <w:t>9 septembre 2014</w:t>
      </w:r>
      <w:r w:rsidRPr="00706345">
        <w:rPr>
          <w:lang w:val="fr-FR"/>
        </w:rPr>
        <w:t xml:space="preserve"> en une </w:t>
      </w:r>
      <w:r>
        <w:rPr>
          <w:lang w:val="fr-FR"/>
        </w:rPr>
        <w:t>Chambre</w:t>
      </w:r>
      <w:r w:rsidRPr="00706345">
        <w:rPr>
          <w:lang w:val="fr-FR"/>
        </w:rPr>
        <w:t xml:space="preserve"> composée de :</w:t>
      </w:r>
    </w:p>
    <w:p w:rsidR="007A41EB" w:rsidRPr="00706345" w:rsidRDefault="007A41EB" w:rsidP="007C0B2A">
      <w:pPr>
        <w:pStyle w:val="ECHRDecisionBody"/>
        <w:rPr>
          <w:lang w:val="fr-FR"/>
        </w:rPr>
      </w:pPr>
      <w:r w:rsidRPr="007C0B2A">
        <w:rPr>
          <w:lang w:val="fr-FR"/>
        </w:rPr>
        <w:tab/>
        <w:t>Işıl Karakaş,</w:t>
      </w:r>
      <w:r w:rsidRPr="007C0B2A">
        <w:rPr>
          <w:i/>
          <w:lang w:val="fr-FR"/>
        </w:rPr>
        <w:t xml:space="preserve"> présidente,</w:t>
      </w:r>
      <w:r w:rsidRPr="007C0B2A">
        <w:rPr>
          <w:i/>
          <w:lang w:val="fr-FR"/>
        </w:rPr>
        <w:br/>
      </w:r>
      <w:r w:rsidRPr="007C0B2A">
        <w:rPr>
          <w:lang w:val="fr-FR"/>
        </w:rPr>
        <w:tab/>
        <w:t>Guido Raimondi,</w:t>
      </w:r>
      <w:r w:rsidRPr="007C0B2A">
        <w:rPr>
          <w:i/>
          <w:lang w:val="fr-FR"/>
        </w:rPr>
        <w:br/>
      </w:r>
      <w:r w:rsidRPr="007C0B2A">
        <w:rPr>
          <w:lang w:val="fr-FR"/>
        </w:rPr>
        <w:tab/>
        <w:t>András Sajó,</w:t>
      </w:r>
      <w:r w:rsidRPr="007C0B2A">
        <w:rPr>
          <w:i/>
          <w:lang w:val="fr-FR"/>
        </w:rPr>
        <w:br/>
      </w:r>
      <w:r w:rsidRPr="007C0B2A">
        <w:rPr>
          <w:lang w:val="fr-FR"/>
        </w:rPr>
        <w:tab/>
        <w:t>Helen Keller,</w:t>
      </w:r>
      <w:r w:rsidRPr="007C0B2A">
        <w:rPr>
          <w:i/>
          <w:lang w:val="fr-FR"/>
        </w:rPr>
        <w:br/>
      </w:r>
      <w:r w:rsidRPr="007C0B2A">
        <w:rPr>
          <w:lang w:val="fr-FR"/>
        </w:rPr>
        <w:tab/>
        <w:t>Paul Lemmens,</w:t>
      </w:r>
      <w:r w:rsidRPr="007C0B2A">
        <w:rPr>
          <w:i/>
          <w:lang w:val="fr-FR"/>
        </w:rPr>
        <w:br/>
      </w:r>
      <w:r w:rsidRPr="007C0B2A">
        <w:rPr>
          <w:lang w:val="fr-FR"/>
        </w:rPr>
        <w:tab/>
        <w:t>Robert Spano,</w:t>
      </w:r>
      <w:r w:rsidRPr="007C0B2A">
        <w:rPr>
          <w:i/>
          <w:lang w:val="fr-FR"/>
        </w:rPr>
        <w:br/>
      </w:r>
      <w:r w:rsidRPr="007C0B2A">
        <w:rPr>
          <w:lang w:val="fr-FR"/>
        </w:rPr>
        <w:tab/>
        <w:t>Jon Fridrik Kjølbro,</w:t>
      </w:r>
      <w:r w:rsidRPr="007C0B2A">
        <w:rPr>
          <w:i/>
          <w:lang w:val="fr-FR"/>
        </w:rPr>
        <w:t xml:space="preserve"> juges,</w:t>
      </w:r>
      <w:r w:rsidRPr="007C0B2A">
        <w:rPr>
          <w:i/>
          <w:lang w:val="fr-FR"/>
        </w:rPr>
        <w:br/>
      </w:r>
      <w:r w:rsidRPr="00706345">
        <w:rPr>
          <w:lang w:val="fr-FR"/>
        </w:rPr>
        <w:t xml:space="preserve">et de </w:t>
      </w:r>
      <w:r>
        <w:rPr>
          <w:lang w:val="fr-FR"/>
        </w:rPr>
        <w:t>Stanley</w:t>
      </w:r>
      <w:r w:rsidRPr="00706345">
        <w:rPr>
          <w:lang w:val="fr-FR"/>
        </w:rPr>
        <w:t xml:space="preserve"> </w:t>
      </w:r>
      <w:r>
        <w:rPr>
          <w:lang w:val="fr-FR"/>
        </w:rPr>
        <w:t>Naismith</w:t>
      </w:r>
      <w:r w:rsidRPr="00706345">
        <w:rPr>
          <w:lang w:val="fr-FR"/>
        </w:rPr>
        <w:t xml:space="preserve">, </w:t>
      </w:r>
      <w:r w:rsidRPr="00706345">
        <w:rPr>
          <w:i/>
          <w:lang w:val="fr-FR"/>
        </w:rPr>
        <w:t>greffier</w:t>
      </w:r>
      <w:r w:rsidRPr="00706345">
        <w:rPr>
          <w:i/>
          <w:iCs/>
          <w:lang w:val="fr-FR"/>
        </w:rPr>
        <w:t xml:space="preserve"> d</w:t>
      </w:r>
      <w:r w:rsidRPr="00706345">
        <w:rPr>
          <w:i/>
          <w:lang w:val="fr-FR"/>
        </w:rPr>
        <w:t>e section</w:t>
      </w:r>
      <w:r w:rsidRPr="006F106B">
        <w:rPr>
          <w:lang w:val="fr-FR"/>
        </w:rPr>
        <w:t>,</w:t>
      </w:r>
    </w:p>
    <w:p w:rsidR="007A41EB" w:rsidRPr="00706345" w:rsidRDefault="007A41EB" w:rsidP="00C940F4">
      <w:pPr>
        <w:pStyle w:val="ECHRPara"/>
        <w:rPr>
          <w:lang w:val="fr-FR"/>
        </w:rPr>
      </w:pPr>
      <w:r w:rsidRPr="00706345">
        <w:rPr>
          <w:lang w:val="fr-FR"/>
        </w:rPr>
        <w:t xml:space="preserve">Vu la requête susmentionnée introduite le </w:t>
      </w:r>
      <w:r>
        <w:rPr>
          <w:lang w:val="fr-FR"/>
        </w:rPr>
        <w:t>19 mai 2009</w:t>
      </w:r>
      <w:r w:rsidRPr="00706345">
        <w:rPr>
          <w:lang w:val="fr-FR"/>
        </w:rPr>
        <w:t>,</w:t>
      </w:r>
    </w:p>
    <w:p w:rsidR="007A41EB" w:rsidRDefault="007A41EB" w:rsidP="00C940F4">
      <w:pPr>
        <w:pStyle w:val="ECHRPara"/>
        <w:rPr>
          <w:lang w:val="fr-FR"/>
        </w:rPr>
      </w:pPr>
      <w:r w:rsidRPr="00706345">
        <w:rPr>
          <w:lang w:val="fr-FR"/>
        </w:rPr>
        <w:t>Après en avoir délibéré, rend la décision suivante :</w:t>
      </w:r>
    </w:p>
    <w:p w:rsidR="007A41EB" w:rsidRPr="00706345" w:rsidRDefault="007A41EB" w:rsidP="00C940F4">
      <w:pPr>
        <w:pStyle w:val="ECHRTitle1"/>
        <w:rPr>
          <w:lang w:val="fr-FR"/>
        </w:rPr>
      </w:pPr>
      <w:r w:rsidRPr="00706345">
        <w:rPr>
          <w:lang w:val="fr-FR"/>
        </w:rPr>
        <w:t>EN FAIT</w:t>
      </w:r>
    </w:p>
    <w:p w:rsidR="007A41EB" w:rsidRPr="00706345" w:rsidRDefault="007A41EB" w:rsidP="00C940F4">
      <w:pPr>
        <w:pStyle w:val="ECHRPara"/>
        <w:rPr>
          <w:lang w:val="fr-FR"/>
        </w:rPr>
      </w:pPr>
      <w:r>
        <w:rPr>
          <w:lang w:val="fr-FR"/>
        </w:rPr>
        <w:t>1.  </w:t>
      </w:r>
      <w:r w:rsidRPr="00706345">
        <w:rPr>
          <w:lang w:val="fr-FR"/>
        </w:rPr>
        <w:t xml:space="preserve">Le requérant, </w:t>
      </w:r>
      <w:r>
        <w:rPr>
          <w:lang w:val="fr-FR"/>
        </w:rPr>
        <w:t>M. Maurizio</w:t>
      </w:r>
      <w:r w:rsidRPr="00706345">
        <w:rPr>
          <w:lang w:val="fr-FR"/>
        </w:rPr>
        <w:t xml:space="preserve"> </w:t>
      </w:r>
      <w:r>
        <w:rPr>
          <w:lang w:val="fr-FR"/>
        </w:rPr>
        <w:t>Vianello</w:t>
      </w:r>
      <w:r w:rsidRPr="00706345">
        <w:rPr>
          <w:lang w:val="fr-FR"/>
        </w:rPr>
        <w:t xml:space="preserve">, est un ressortissant </w:t>
      </w:r>
      <w:r>
        <w:rPr>
          <w:lang w:val="fr-FR"/>
        </w:rPr>
        <w:t>italien</w:t>
      </w:r>
      <w:r w:rsidRPr="00706345">
        <w:rPr>
          <w:lang w:val="fr-FR"/>
        </w:rPr>
        <w:t xml:space="preserve"> né en </w:t>
      </w:r>
      <w:r>
        <w:rPr>
          <w:lang w:val="fr-FR"/>
        </w:rPr>
        <w:t>1956</w:t>
      </w:r>
      <w:r w:rsidRPr="00706345">
        <w:rPr>
          <w:lang w:val="fr-FR"/>
        </w:rPr>
        <w:t xml:space="preserve"> et résidant à </w:t>
      </w:r>
      <w:r>
        <w:rPr>
          <w:lang w:val="fr-FR"/>
        </w:rPr>
        <w:t>Luxembourg</w:t>
      </w:r>
      <w:r w:rsidRPr="00706345">
        <w:rPr>
          <w:lang w:val="fr-FR"/>
        </w:rPr>
        <w:t>. Il a été représenté devant la Cour par M</w:t>
      </w:r>
      <w:r w:rsidRPr="00706345">
        <w:rPr>
          <w:vertAlign w:val="superscript"/>
          <w:lang w:val="fr-FR"/>
        </w:rPr>
        <w:t>e</w:t>
      </w:r>
      <w:r w:rsidRPr="00706345">
        <w:rPr>
          <w:lang w:val="fr-FR"/>
        </w:rPr>
        <w:t> </w:t>
      </w:r>
      <w:r>
        <w:rPr>
          <w:lang w:val="fr-FR"/>
        </w:rPr>
        <w:t>V. Fasce</w:t>
      </w:r>
      <w:r w:rsidRPr="00706345">
        <w:rPr>
          <w:lang w:val="fr-FR"/>
        </w:rPr>
        <w:t xml:space="preserve">, avocat à </w:t>
      </w:r>
      <w:r>
        <w:rPr>
          <w:lang w:val="fr-FR"/>
        </w:rPr>
        <w:t>Gênes</w:t>
      </w:r>
      <w:r w:rsidRPr="00706345">
        <w:rPr>
          <w:lang w:val="fr-FR"/>
        </w:rPr>
        <w:t>.</w:t>
      </w:r>
    </w:p>
    <w:p w:rsidR="007A41EB" w:rsidRDefault="007A41EB" w:rsidP="00C940F4">
      <w:pPr>
        <w:pStyle w:val="ECHRPara"/>
        <w:rPr>
          <w:lang w:val="fr-FR"/>
        </w:rPr>
      </w:pPr>
      <w:r>
        <w:rPr>
          <w:lang w:val="fr-FR"/>
        </w:rPr>
        <w:t>2.  </w:t>
      </w:r>
      <w:r w:rsidRPr="00706345">
        <w:rPr>
          <w:lang w:val="fr-FR"/>
        </w:rPr>
        <w:t>Les faits de la cause, tels qu</w:t>
      </w:r>
      <w:r>
        <w:rPr>
          <w:lang w:val="fr-FR"/>
        </w:rPr>
        <w:t>’</w:t>
      </w:r>
      <w:r w:rsidRPr="00706345">
        <w:rPr>
          <w:lang w:val="fr-FR"/>
        </w:rPr>
        <w:t>ils ont été exposés par le requérant, peuvent se résumer comme suit</w:t>
      </w:r>
      <w:r w:rsidRPr="007D142D">
        <w:rPr>
          <w:lang w:val="fr-FR"/>
        </w:rPr>
        <w:t>.</w:t>
      </w:r>
    </w:p>
    <w:p w:rsidR="007A41EB" w:rsidRDefault="007A41EB" w:rsidP="00C940F4">
      <w:pPr>
        <w:pStyle w:val="ECHRHeading2"/>
        <w:rPr>
          <w:lang w:val="fr-FR"/>
        </w:rPr>
      </w:pPr>
      <w:r>
        <w:rPr>
          <w:lang w:val="fr-FR"/>
        </w:rPr>
        <w:t xml:space="preserve">A.  Les activités </w:t>
      </w:r>
      <w:r w:rsidRPr="00F77265">
        <w:rPr>
          <w:lang w:val="fr-FR"/>
        </w:rPr>
        <w:t>entrepreneuriales du</w:t>
      </w:r>
      <w:r>
        <w:rPr>
          <w:lang w:val="fr-FR"/>
        </w:rPr>
        <w:t xml:space="preserve"> requérant</w:t>
      </w:r>
    </w:p>
    <w:p w:rsidR="007A41EB" w:rsidRDefault="007A41EB" w:rsidP="00C940F4">
      <w:pPr>
        <w:pStyle w:val="ECHRPara"/>
        <w:rPr>
          <w:lang w:val="fr-FR"/>
        </w:rPr>
      </w:pPr>
      <w:r>
        <w:rPr>
          <w:lang w:val="fr-FR"/>
        </w:rPr>
        <w:t>3.  En 1980 et 1981, le requérant fonda les sociétés V. et S., dont l’activité principale était l’achat et la vente de biens immobiliers. Le requérant souhaitait acquérir des hôtels et les transformer en résidences. Ayant besoin de financements, il en obtint de M. M., propriétaire de la société I. dont l’administrateur était, selon le requérant, M. R.</w:t>
      </w:r>
    </w:p>
    <w:p w:rsidR="007A41EB" w:rsidRDefault="007A41EB" w:rsidP="00C940F4">
      <w:pPr>
        <w:pStyle w:val="ECHRPara"/>
        <w:rPr>
          <w:lang w:val="fr-FR"/>
        </w:rPr>
      </w:pPr>
      <w:r>
        <w:rPr>
          <w:lang w:val="fr-FR"/>
        </w:rPr>
        <w:t xml:space="preserve">4.  Une société holding, dénommée </w:t>
      </w:r>
      <w:r>
        <w:rPr>
          <w:i/>
          <w:lang w:val="fr-FR"/>
        </w:rPr>
        <w:t>Lucky Stars Holding International</w:t>
      </w:r>
      <w:r>
        <w:rPr>
          <w:lang w:val="fr-FR"/>
        </w:rPr>
        <w:t>, fut constituée au Luxembourg. Le requérant détenait 8,75 % des parts de cette société.</w:t>
      </w:r>
    </w:p>
    <w:p w:rsidR="007A41EB" w:rsidRDefault="007A41EB" w:rsidP="00C940F4">
      <w:pPr>
        <w:pStyle w:val="ECHRPara"/>
        <w:rPr>
          <w:lang w:val="fr-FR"/>
        </w:rPr>
      </w:pPr>
      <w:r>
        <w:rPr>
          <w:lang w:val="fr-FR"/>
        </w:rPr>
        <w:t>Le requérant soutient que seul M. R. était réellement opérationnel au sein des sociétés situées en Italie et que lui-même s’occupait presque exclusivement de la société holding en tant qu’administrateur.</w:t>
      </w:r>
    </w:p>
    <w:p w:rsidR="007A41EB" w:rsidRDefault="007A41EB" w:rsidP="00C940F4">
      <w:pPr>
        <w:pStyle w:val="ECHRPara"/>
        <w:rPr>
          <w:lang w:val="fr-FR"/>
        </w:rPr>
      </w:pPr>
      <w:r>
        <w:rPr>
          <w:lang w:val="fr-FR"/>
        </w:rPr>
        <w:t>5.  À cause, selon le requérant, de la dévalorisation de la lire italienne et de l’insolvabilité d’un associé potentiel, toutes les sociétés susmentionnées se trouvèrent dans une situation financière précaire</w:t>
      </w:r>
      <w:r w:rsidRPr="00D52446">
        <w:rPr>
          <w:lang w:val="fr-FR"/>
        </w:rPr>
        <w:t xml:space="preserve"> en 1993</w:t>
      </w:r>
      <w:r>
        <w:rPr>
          <w:lang w:val="fr-FR"/>
        </w:rPr>
        <w:t>. Ceci provoqua leur faillite la même année.</w:t>
      </w:r>
    </w:p>
    <w:p w:rsidR="007A41EB" w:rsidRDefault="007A41EB" w:rsidP="00C940F4">
      <w:pPr>
        <w:pStyle w:val="ECHRHeading2"/>
        <w:rPr>
          <w:lang w:val="fr-FR"/>
        </w:rPr>
      </w:pPr>
      <w:r>
        <w:rPr>
          <w:lang w:val="fr-FR"/>
        </w:rPr>
        <w:t>B.  La procédure en première instance</w:t>
      </w:r>
    </w:p>
    <w:p w:rsidR="007A41EB" w:rsidRDefault="007A41EB" w:rsidP="00C940F4">
      <w:pPr>
        <w:pStyle w:val="ECHRPara"/>
        <w:rPr>
          <w:lang w:val="fr-FR"/>
        </w:rPr>
      </w:pPr>
      <w:bookmarkStart w:id="1" w:name="citazleggefallimentare"/>
      <w:r>
        <w:rPr>
          <w:lang w:val="fr-FR"/>
        </w:rPr>
        <w:t>6</w:t>
      </w:r>
      <w:bookmarkEnd w:id="1"/>
      <w:r>
        <w:rPr>
          <w:lang w:val="fr-FR"/>
        </w:rPr>
        <w:t>.  Par la suite, le requérant fut accusé de plusieurs épisodes de banqueroute frauduleuse. Cette infraction est prévue par les articles 216 et 223 du décret royal n</w:t>
      </w:r>
      <w:r w:rsidRPr="007C0B2A">
        <w:rPr>
          <w:vertAlign w:val="superscript"/>
          <w:lang w:val="fr-FR"/>
        </w:rPr>
        <w:t>o</w:t>
      </w:r>
      <w:r>
        <w:rPr>
          <w:lang w:val="fr-FR"/>
        </w:rPr>
        <w:t xml:space="preserve"> 267 du 16 mars 1942 (ci-après la « loi sur la faillite »).</w:t>
      </w:r>
    </w:p>
    <w:p w:rsidR="007A41EB" w:rsidRDefault="007A41EB" w:rsidP="00C940F4">
      <w:pPr>
        <w:pStyle w:val="ECHRPara"/>
        <w:rPr>
          <w:lang w:val="fr-FR"/>
        </w:rPr>
      </w:pPr>
      <w:r>
        <w:rPr>
          <w:lang w:val="fr-FR"/>
        </w:rPr>
        <w:t>Dans leurs parties pertinentes en l’espèce, ces dispositions se lisent comme suit :</w:t>
      </w:r>
    </w:p>
    <w:p w:rsidR="007A41EB" w:rsidRPr="008545F9" w:rsidRDefault="007A41EB" w:rsidP="00C940F4">
      <w:pPr>
        <w:pStyle w:val="ECHRParaQuote"/>
        <w:ind w:left="0" w:firstLine="0"/>
        <w:jc w:val="center"/>
        <w:rPr>
          <w:b/>
          <w:lang w:val="fr-FR"/>
        </w:rPr>
      </w:pPr>
      <w:r w:rsidRPr="008545F9">
        <w:rPr>
          <w:b/>
          <w:lang w:val="fr-FR"/>
        </w:rPr>
        <w:t>Article 216 § 1</w:t>
      </w:r>
    </w:p>
    <w:p w:rsidR="007A41EB" w:rsidRPr="00A45BD0" w:rsidRDefault="007A41EB" w:rsidP="00C940F4">
      <w:pPr>
        <w:pStyle w:val="ECHRParaQuote"/>
        <w:rPr>
          <w:rFonts w:eastAsia="Times New Roman"/>
          <w:lang w:val="fr-FR"/>
        </w:rPr>
      </w:pPr>
      <w:r>
        <w:rPr>
          <w:rFonts w:eastAsia="Times New Roman"/>
          <w:lang w:val="fr-FR"/>
        </w:rPr>
        <w:t>« </w:t>
      </w:r>
      <w:r w:rsidRPr="00A45BD0">
        <w:rPr>
          <w:rFonts w:eastAsia="Times New Roman"/>
          <w:lang w:val="fr-FR"/>
        </w:rPr>
        <w:t>Est puni par une peine d</w:t>
      </w:r>
      <w:r>
        <w:rPr>
          <w:rFonts w:eastAsia="Times New Roman"/>
          <w:lang w:val="fr-FR"/>
        </w:rPr>
        <w:t>’</w:t>
      </w:r>
      <w:r w:rsidRPr="00A45BD0">
        <w:rPr>
          <w:rFonts w:eastAsia="Times New Roman"/>
          <w:lang w:val="fr-FR"/>
        </w:rPr>
        <w:t>emprisonnement allant de trois à dix ans, s</w:t>
      </w:r>
      <w:r>
        <w:rPr>
          <w:rFonts w:eastAsia="Times New Roman"/>
          <w:lang w:val="fr-FR"/>
        </w:rPr>
        <w:t>’</w:t>
      </w:r>
      <w:r w:rsidRPr="00A45BD0">
        <w:rPr>
          <w:rFonts w:eastAsia="Times New Roman"/>
          <w:lang w:val="fr-FR"/>
        </w:rPr>
        <w:t>il a été décl</w:t>
      </w:r>
      <w:r>
        <w:rPr>
          <w:rFonts w:eastAsia="Times New Roman"/>
          <w:lang w:val="fr-FR"/>
        </w:rPr>
        <w:t>a</w:t>
      </w:r>
      <w:r w:rsidRPr="00A45BD0">
        <w:rPr>
          <w:rFonts w:eastAsia="Times New Roman"/>
          <w:lang w:val="fr-FR"/>
        </w:rPr>
        <w:t>ré failli, l</w:t>
      </w:r>
      <w:r>
        <w:rPr>
          <w:rFonts w:eastAsia="Times New Roman"/>
          <w:lang w:val="fr-FR"/>
        </w:rPr>
        <w:t>’</w:t>
      </w:r>
      <w:r w:rsidRPr="00A45BD0">
        <w:rPr>
          <w:rFonts w:eastAsia="Times New Roman"/>
          <w:lang w:val="fr-FR"/>
        </w:rPr>
        <w:t>entrepreneur qui :</w:t>
      </w:r>
    </w:p>
    <w:p w:rsidR="007A41EB" w:rsidRDefault="007A41EB" w:rsidP="00C940F4">
      <w:pPr>
        <w:pStyle w:val="ECHRParaQuote"/>
        <w:rPr>
          <w:rFonts w:eastAsia="Times New Roman"/>
          <w:lang w:val="fr-FR"/>
        </w:rPr>
      </w:pPr>
      <w:r w:rsidRPr="00A45BD0">
        <w:rPr>
          <w:rFonts w:eastAsia="Times New Roman"/>
          <w:lang w:val="fr-FR"/>
        </w:rPr>
        <w:t xml:space="preserve">1) a aliéné, occulté, dissimulé, détruit ou dissipé en tout ou en partie ses biens ou, afin de </w:t>
      </w:r>
      <w:r>
        <w:rPr>
          <w:rFonts w:eastAsia="Times New Roman"/>
          <w:lang w:val="fr-FR"/>
        </w:rPr>
        <w:t>porter</w:t>
      </w:r>
      <w:r w:rsidRPr="00A45BD0">
        <w:rPr>
          <w:rFonts w:eastAsia="Times New Roman"/>
          <w:lang w:val="fr-FR"/>
        </w:rPr>
        <w:t xml:space="preserve"> préjudice aux créanciers, a </w:t>
      </w:r>
      <w:r>
        <w:rPr>
          <w:rFonts w:eastAsia="Times New Roman"/>
          <w:lang w:val="fr-FR"/>
        </w:rPr>
        <w:t>présenté</w:t>
      </w:r>
      <w:r w:rsidRPr="00A45BD0">
        <w:rPr>
          <w:rFonts w:eastAsia="Times New Roman"/>
          <w:lang w:val="fr-FR"/>
        </w:rPr>
        <w:t xml:space="preserve"> ou reconnu des passi</w:t>
      </w:r>
      <w:r>
        <w:rPr>
          <w:rFonts w:eastAsia="Times New Roman"/>
          <w:lang w:val="fr-FR"/>
        </w:rPr>
        <w:t>fs</w:t>
      </w:r>
      <w:r w:rsidRPr="00A45BD0">
        <w:rPr>
          <w:rFonts w:eastAsia="Times New Roman"/>
          <w:lang w:val="fr-FR"/>
        </w:rPr>
        <w:t xml:space="preserve"> inexist</w:t>
      </w:r>
      <w:r>
        <w:rPr>
          <w:rFonts w:eastAsia="Times New Roman"/>
          <w:lang w:val="fr-FR"/>
        </w:rPr>
        <w:t>a</w:t>
      </w:r>
      <w:r w:rsidRPr="00A45BD0">
        <w:rPr>
          <w:rFonts w:eastAsia="Times New Roman"/>
          <w:lang w:val="fr-FR"/>
        </w:rPr>
        <w:t>nts</w:t>
      </w:r>
      <w:r>
        <w:rPr>
          <w:rFonts w:eastAsia="Times New Roman"/>
          <w:lang w:val="fr-FR"/>
        </w:rPr>
        <w:t> ;</w:t>
      </w:r>
    </w:p>
    <w:p w:rsidR="007A41EB" w:rsidRPr="00A45BD0" w:rsidRDefault="007A41EB" w:rsidP="00C940F4">
      <w:pPr>
        <w:pStyle w:val="ECHRParaQuote"/>
        <w:rPr>
          <w:rFonts w:eastAsia="Times New Roman"/>
          <w:lang w:val="fr-FR"/>
        </w:rPr>
      </w:pPr>
      <w:r w:rsidRPr="000532A4">
        <w:rPr>
          <w:rFonts w:eastAsia="Times New Roman"/>
          <w:lang w:val="fr-FR"/>
        </w:rPr>
        <w:t>2) a soustrait, détruit ou falsifié, en tout ou en partie, afin de procurer à soi-même ou à autrui un profit injuste ou afin de porter préjudice aux créanciers, les livres ou les autres écritures comptables ou les a tenues de manière à rendre impossible la reconstitution du patrimoine ou du mouvement des affaires. »</w:t>
      </w:r>
    </w:p>
    <w:p w:rsidR="007A41EB" w:rsidRPr="00AC33AF" w:rsidRDefault="007A41EB" w:rsidP="00C940F4">
      <w:pPr>
        <w:pStyle w:val="ECHRParaQuote"/>
        <w:ind w:left="0" w:firstLine="0"/>
        <w:jc w:val="center"/>
        <w:rPr>
          <w:b/>
          <w:lang w:val="fr-FR"/>
        </w:rPr>
      </w:pPr>
      <w:r w:rsidRPr="00AC33AF">
        <w:rPr>
          <w:b/>
          <w:lang w:val="fr-FR"/>
        </w:rPr>
        <w:t>Article 223</w:t>
      </w:r>
    </w:p>
    <w:p w:rsidR="007A41EB" w:rsidRPr="00ED1FEA" w:rsidRDefault="007A41EB" w:rsidP="00C940F4">
      <w:pPr>
        <w:pStyle w:val="ECHRParaQuote"/>
        <w:rPr>
          <w:rFonts w:eastAsia="Times New Roman"/>
          <w:lang w:val="fr-FR"/>
        </w:rPr>
      </w:pPr>
      <w:r w:rsidRPr="006F0DE0">
        <w:rPr>
          <w:rFonts w:eastAsia="Times New Roman"/>
          <w:lang w:val="fr-FR"/>
        </w:rPr>
        <w:t>« </w:t>
      </w:r>
      <w:r w:rsidRPr="005B21C6">
        <w:rPr>
          <w:rFonts w:eastAsia="Times New Roman"/>
          <w:lang w:val="fr-FR"/>
        </w:rPr>
        <w:t>L</w:t>
      </w:r>
      <w:r w:rsidRPr="00ED1FEA">
        <w:rPr>
          <w:rFonts w:eastAsia="Times New Roman"/>
          <w:lang w:val="fr-FR"/>
        </w:rPr>
        <w:t>es peines établies à l</w:t>
      </w:r>
      <w:r>
        <w:rPr>
          <w:rFonts w:eastAsia="Times New Roman"/>
          <w:lang w:val="fr-FR"/>
        </w:rPr>
        <w:t>’</w:t>
      </w:r>
      <w:r w:rsidRPr="00ED1FEA">
        <w:rPr>
          <w:rFonts w:eastAsia="Times New Roman"/>
          <w:lang w:val="fr-FR"/>
        </w:rPr>
        <w:t>article 216 s</w:t>
      </w:r>
      <w:r>
        <w:rPr>
          <w:rFonts w:eastAsia="Times New Roman"/>
          <w:lang w:val="fr-FR"/>
        </w:rPr>
        <w:t>’</w:t>
      </w:r>
      <w:r w:rsidRPr="00ED1FEA">
        <w:rPr>
          <w:rFonts w:eastAsia="Times New Roman"/>
          <w:lang w:val="fr-FR"/>
        </w:rPr>
        <w:t>appliquent aux administrateurs, aux directeurs généraux, aux syndics et aux liquidateurs des sociétés déclarées en état de faillite qui ont commis les faits décrits à l</w:t>
      </w:r>
      <w:r>
        <w:rPr>
          <w:rFonts w:eastAsia="Times New Roman"/>
          <w:lang w:val="fr-FR"/>
        </w:rPr>
        <w:t>’</w:t>
      </w:r>
      <w:r w:rsidRPr="00ED1FEA">
        <w:rPr>
          <w:rFonts w:eastAsia="Times New Roman"/>
          <w:lang w:val="fr-FR"/>
        </w:rPr>
        <w:t>article susmentionné.</w:t>
      </w:r>
    </w:p>
    <w:p w:rsidR="007A41EB" w:rsidRDefault="007A41EB" w:rsidP="00C940F4">
      <w:pPr>
        <w:pStyle w:val="ECHRParaQuote"/>
        <w:rPr>
          <w:rFonts w:eastAsia="Times New Roman"/>
          <w:lang w:val="fr-FR"/>
        </w:rPr>
      </w:pPr>
      <w:r>
        <w:rPr>
          <w:rFonts w:eastAsia="Times New Roman"/>
          <w:lang w:val="fr-FR"/>
        </w:rPr>
        <w:t>L</w:t>
      </w:r>
      <w:r w:rsidRPr="000532A4">
        <w:rPr>
          <w:rFonts w:eastAsia="Times New Roman"/>
          <w:lang w:val="fr-FR"/>
        </w:rPr>
        <w:t>a peine prévue au premier paragraphe de l</w:t>
      </w:r>
      <w:r>
        <w:rPr>
          <w:rFonts w:eastAsia="Times New Roman"/>
          <w:lang w:val="fr-FR"/>
        </w:rPr>
        <w:t>’</w:t>
      </w:r>
      <w:r w:rsidRPr="000532A4">
        <w:rPr>
          <w:rFonts w:eastAsia="Times New Roman"/>
          <w:lang w:val="fr-FR"/>
        </w:rPr>
        <w:t>article 216</w:t>
      </w:r>
      <w:r>
        <w:rPr>
          <w:rFonts w:eastAsia="Times New Roman"/>
          <w:lang w:val="fr-FR"/>
        </w:rPr>
        <w:t xml:space="preserve"> s’</w:t>
      </w:r>
      <w:r w:rsidRPr="00ED1FEA">
        <w:rPr>
          <w:rFonts w:eastAsia="Times New Roman"/>
          <w:lang w:val="fr-FR"/>
        </w:rPr>
        <w:t xml:space="preserve">applique aux personnes susdites </w:t>
      </w:r>
      <w:r w:rsidRPr="005B21C6">
        <w:rPr>
          <w:rFonts w:eastAsia="Times New Roman"/>
          <w:lang w:val="fr-FR"/>
        </w:rPr>
        <w:t>si</w:t>
      </w:r>
      <w:r>
        <w:rPr>
          <w:rFonts w:eastAsia="Times New Roman"/>
          <w:lang w:val="fr-FR"/>
        </w:rPr>
        <w:t> :</w:t>
      </w:r>
    </w:p>
    <w:p w:rsidR="007A41EB" w:rsidRPr="00ED1FEA" w:rsidRDefault="007A41EB" w:rsidP="00C940F4">
      <w:pPr>
        <w:pStyle w:val="ECHRParaQuote"/>
        <w:rPr>
          <w:rFonts w:eastAsia="Times New Roman"/>
          <w:lang w:val="fr-FR"/>
        </w:rPr>
      </w:pPr>
      <w:r w:rsidRPr="00ED1FEA">
        <w:rPr>
          <w:rFonts w:eastAsia="Times New Roman"/>
          <w:lang w:val="fr-FR"/>
        </w:rPr>
        <w:t xml:space="preserve">1) elles ont provoqué, ou ont </w:t>
      </w:r>
      <w:r>
        <w:rPr>
          <w:rFonts w:eastAsia="Times New Roman"/>
          <w:lang w:val="fr-FR"/>
        </w:rPr>
        <w:t>concouru</w:t>
      </w:r>
      <w:r w:rsidRPr="00ED1FEA">
        <w:rPr>
          <w:rFonts w:eastAsia="Times New Roman"/>
          <w:lang w:val="fr-FR"/>
        </w:rPr>
        <w:t xml:space="preserve"> à provoquer, l</w:t>
      </w:r>
      <w:r>
        <w:rPr>
          <w:rFonts w:eastAsia="Times New Roman"/>
          <w:lang w:val="fr-FR"/>
        </w:rPr>
        <w:t>’insolvabilité</w:t>
      </w:r>
      <w:r w:rsidRPr="00ED1FEA">
        <w:rPr>
          <w:rFonts w:eastAsia="Times New Roman"/>
          <w:lang w:val="fr-FR"/>
        </w:rPr>
        <w:t xml:space="preserve"> (</w:t>
      </w:r>
      <w:r w:rsidRPr="00ED1FEA">
        <w:rPr>
          <w:rFonts w:eastAsia="Times New Roman"/>
          <w:i/>
          <w:lang w:val="fr-FR"/>
        </w:rPr>
        <w:t>dissesto</w:t>
      </w:r>
      <w:r w:rsidRPr="00ED1FEA">
        <w:rPr>
          <w:rFonts w:eastAsia="Times New Roman"/>
          <w:lang w:val="fr-FR"/>
        </w:rPr>
        <w:t>) de la société, en comme</w:t>
      </w:r>
      <w:r>
        <w:rPr>
          <w:rFonts w:eastAsia="Times New Roman"/>
          <w:lang w:val="fr-FR"/>
        </w:rPr>
        <w:t>t</w:t>
      </w:r>
      <w:r w:rsidRPr="00ED1FEA">
        <w:rPr>
          <w:rFonts w:eastAsia="Times New Roman"/>
          <w:lang w:val="fr-FR"/>
        </w:rPr>
        <w:t>tant l</w:t>
      </w:r>
      <w:r>
        <w:rPr>
          <w:rFonts w:eastAsia="Times New Roman"/>
          <w:lang w:val="fr-FR"/>
        </w:rPr>
        <w:t>’</w:t>
      </w:r>
      <w:r w:rsidRPr="00ED1FEA">
        <w:rPr>
          <w:rFonts w:eastAsia="Times New Roman"/>
          <w:lang w:val="fr-FR"/>
        </w:rPr>
        <w:t>un des faits décrits aux articles 2621, 2622, 2626, 2627, 2628, 2629, 2632, 2633 e</w:t>
      </w:r>
      <w:r>
        <w:rPr>
          <w:rFonts w:eastAsia="Times New Roman"/>
          <w:lang w:val="fr-FR"/>
        </w:rPr>
        <w:t>t</w:t>
      </w:r>
      <w:r w:rsidRPr="00ED1FEA">
        <w:rPr>
          <w:rFonts w:eastAsia="Times New Roman"/>
          <w:lang w:val="fr-FR"/>
        </w:rPr>
        <w:t xml:space="preserve"> 2634 du code civil ;</w:t>
      </w:r>
    </w:p>
    <w:p w:rsidR="007A41EB" w:rsidRPr="00A45BD0" w:rsidRDefault="007A41EB" w:rsidP="00C940F4">
      <w:pPr>
        <w:pStyle w:val="ECHRParaQuote"/>
        <w:rPr>
          <w:rFonts w:eastAsia="Times New Roman"/>
          <w:lang w:val="fr-FR"/>
        </w:rPr>
      </w:pPr>
      <w:r w:rsidRPr="00996906">
        <w:rPr>
          <w:rFonts w:eastAsia="Times New Roman"/>
          <w:lang w:val="fr-FR"/>
        </w:rPr>
        <w:t>2) ont provoqu</w:t>
      </w:r>
      <w:r w:rsidRPr="001A0752">
        <w:rPr>
          <w:rFonts w:eastAsia="Times New Roman"/>
          <w:lang w:val="fr-FR"/>
        </w:rPr>
        <w:t>é la faillite de la société avec dol ou en conséquence d</w:t>
      </w:r>
      <w:r>
        <w:rPr>
          <w:rFonts w:eastAsia="Times New Roman"/>
          <w:lang w:val="fr-FR"/>
        </w:rPr>
        <w:t>’</w:t>
      </w:r>
      <w:r w:rsidRPr="001A0752">
        <w:rPr>
          <w:rFonts w:eastAsia="Times New Roman"/>
          <w:lang w:val="fr-FR"/>
        </w:rPr>
        <w:t>opérations commises avec dol. »</w:t>
      </w:r>
    </w:p>
    <w:p w:rsidR="007A41EB" w:rsidRPr="00AC33AF" w:rsidRDefault="007A41EB" w:rsidP="00C940F4">
      <w:pPr>
        <w:pStyle w:val="ECHRPara"/>
        <w:rPr>
          <w:lang w:val="fr-FR"/>
        </w:rPr>
      </w:pPr>
      <w:bookmarkStart w:id="2" w:name="chefaccusation"/>
      <w:r>
        <w:rPr>
          <w:lang w:val="fr-FR"/>
        </w:rPr>
        <w:t>7</w:t>
      </w:r>
      <w:bookmarkEnd w:id="2"/>
      <w:r>
        <w:rPr>
          <w:lang w:val="fr-FR"/>
        </w:rPr>
        <w:t xml:space="preserve">.  Selon le chef d’accusation, agissant en sa qualité d’administrateur des sociétés I., S. et V., le requérant avait tenu </w:t>
      </w:r>
      <w:r w:rsidRPr="00A45BD0">
        <w:rPr>
          <w:rFonts w:eastAsia="Times New Roman"/>
          <w:lang w:val="fr-FR"/>
        </w:rPr>
        <w:t xml:space="preserve">les livres </w:t>
      </w:r>
      <w:r>
        <w:rPr>
          <w:rFonts w:eastAsia="Times New Roman"/>
          <w:lang w:val="fr-FR"/>
        </w:rPr>
        <w:t>et</w:t>
      </w:r>
      <w:r w:rsidRPr="00A45BD0">
        <w:rPr>
          <w:rFonts w:eastAsia="Times New Roman"/>
          <w:lang w:val="fr-FR"/>
        </w:rPr>
        <w:t xml:space="preserve"> les écritures comptables de manière à rendre impossible la reconstitution d</w:t>
      </w:r>
      <w:r>
        <w:rPr>
          <w:rFonts w:eastAsia="Times New Roman"/>
          <w:lang w:val="fr-FR"/>
        </w:rPr>
        <w:t>u</w:t>
      </w:r>
      <w:r w:rsidRPr="00A45BD0">
        <w:rPr>
          <w:rFonts w:eastAsia="Times New Roman"/>
          <w:lang w:val="fr-FR"/>
        </w:rPr>
        <w:t xml:space="preserve"> patrimoine </w:t>
      </w:r>
      <w:r>
        <w:rPr>
          <w:rFonts w:eastAsia="Times New Roman"/>
          <w:lang w:val="fr-FR"/>
        </w:rPr>
        <w:t>et</w:t>
      </w:r>
      <w:r w:rsidRPr="00A45BD0">
        <w:rPr>
          <w:rFonts w:eastAsia="Times New Roman"/>
          <w:lang w:val="fr-FR"/>
        </w:rPr>
        <w:t xml:space="preserve"> du mouvement des affaires</w:t>
      </w:r>
      <w:r>
        <w:rPr>
          <w:lang w:val="fr-FR"/>
        </w:rPr>
        <w:t xml:space="preserve"> desdites sociétés. Notamment, certaines écritures étaient introuvables, d’autres indiquaient des données contradictoires ou fausses et certaines opérations étaient omises ou présentées de manière trompeuse. En outre, le requérant aurait soustrait des sommes et des biens au patrimoine desdites sociétés et il aurait présenté leur situation financière de manière à provoquer leur insolvabilité et à tromper le public.</w:t>
      </w:r>
    </w:p>
    <w:p w:rsidR="007A41EB" w:rsidRDefault="007A41EB" w:rsidP="00C940F4">
      <w:pPr>
        <w:pStyle w:val="ECHRPara"/>
        <w:rPr>
          <w:lang w:val="fr-FR"/>
        </w:rPr>
      </w:pPr>
      <w:r>
        <w:rPr>
          <w:lang w:val="fr-FR"/>
        </w:rPr>
        <w:t>8.  Les curateurs des sociétés I. et V. se constituèrent partie civile dans la procédure pénale dirigée contre le requérant.</w:t>
      </w:r>
    </w:p>
    <w:p w:rsidR="007A41EB" w:rsidRDefault="007A41EB" w:rsidP="00C940F4">
      <w:pPr>
        <w:pStyle w:val="ECHRPara"/>
        <w:rPr>
          <w:lang w:val="fr-FR"/>
        </w:rPr>
      </w:pPr>
      <w:bookmarkStart w:id="3" w:name="requobtientconvoctem"/>
      <w:r>
        <w:rPr>
          <w:lang w:val="fr-FR"/>
        </w:rPr>
        <w:t>9</w:t>
      </w:r>
      <w:bookmarkEnd w:id="3"/>
      <w:r>
        <w:rPr>
          <w:lang w:val="fr-FR"/>
        </w:rPr>
        <w:t>.  Les débats, étalés sur quinze audiences, eurent lieu du 14 janvier 2003 au 21 janvier 2004. Cinq témoins et deux experts dont l’audition avait été demandée par le parquet furent entendus. La défense obtint la convocation et l’interrogation de douze témoins et d’un expert. Le requérant fut lui aussi interrogé et les parties produisirent de nombreux documents. Les demandes du requérant visant à l’obtention d’une expertise comptable et d’une expertise graphologique furent rejetées.</w:t>
      </w:r>
    </w:p>
    <w:p w:rsidR="007A41EB" w:rsidRDefault="007A41EB" w:rsidP="00C940F4">
      <w:pPr>
        <w:pStyle w:val="ECHRPara"/>
        <w:rPr>
          <w:lang w:val="fr-FR"/>
        </w:rPr>
      </w:pPr>
      <w:r>
        <w:rPr>
          <w:lang w:val="fr-FR"/>
        </w:rPr>
        <w:t>10.  À une date non précisée, le requérant demanda la délocalisation de son procès. Il exposa que, étant l’époux de M</w:t>
      </w:r>
      <w:r w:rsidRPr="00E764FD">
        <w:rPr>
          <w:vertAlign w:val="superscript"/>
          <w:lang w:val="fr-FR"/>
        </w:rPr>
        <w:t>me</w:t>
      </w:r>
      <w:r>
        <w:rPr>
          <w:lang w:val="fr-FR"/>
        </w:rPr>
        <w:t xml:space="preserve"> S., juge près du tribunal d’application des peines de Gênes, un éventuel acquittement pourrait être interprété comme un traitement de faveur dû à sa situation conjugale, ce qui selon lui justifiait l’attribution de l’affaire à un tribunal autre que celui de Gênes. Cette demande fut rejetée.</w:t>
      </w:r>
    </w:p>
    <w:p w:rsidR="007A41EB" w:rsidRDefault="007A41EB" w:rsidP="00C940F4">
      <w:pPr>
        <w:pStyle w:val="ECHRPara"/>
        <w:rPr>
          <w:lang w:val="fr-FR"/>
        </w:rPr>
      </w:pPr>
      <w:r>
        <w:rPr>
          <w:lang w:val="fr-FR"/>
        </w:rPr>
        <w:t>11.  Par un jugement du 21 janvier 2004, dont le texte fut déposé au greffe le 23 mars 2004, le tribunal de Gênes condamna le requérant à cinq ans et quatre mois d’emprisonnement. Le requérant fit en outre l’objet de l’interdiction d’exercer des fonctions publiques pendant cinq ans et de gérer une entreprise commerciale pendant dix ans. Il fut condamné à la réparation des dommages subis par les parties civiles – le montant devant en être fixé dans une procédure civile séparée – et au versement à celles-ci d’acomptes (</w:t>
      </w:r>
      <w:r>
        <w:rPr>
          <w:i/>
          <w:lang w:val="fr-FR"/>
        </w:rPr>
        <w:t>provvisionali immediatamente esecutive</w:t>
      </w:r>
      <w:r>
        <w:rPr>
          <w:lang w:val="fr-FR"/>
        </w:rPr>
        <w:t>)</w:t>
      </w:r>
      <w:r>
        <w:rPr>
          <w:i/>
          <w:lang w:val="fr-FR"/>
        </w:rPr>
        <w:t xml:space="preserve"> </w:t>
      </w:r>
      <w:r>
        <w:rPr>
          <w:lang w:val="fr-FR"/>
        </w:rPr>
        <w:t>pour un montant total de 600 000 euros (EUR).</w:t>
      </w:r>
    </w:p>
    <w:p w:rsidR="007A41EB" w:rsidRDefault="007A41EB" w:rsidP="00C940F4">
      <w:pPr>
        <w:pStyle w:val="ECHRPara"/>
        <w:rPr>
          <w:lang w:val="fr-FR"/>
        </w:rPr>
      </w:pPr>
      <w:r>
        <w:rPr>
          <w:lang w:val="fr-FR"/>
        </w:rPr>
        <w:t>12.  Le tribunal releva plusieurs irrégularités dans la gestion des sociétés en question. Il nota ainsi que, lors de son interrogatoire du 22 novembre 1994, le requérant lui-même avait déclaré qu’il s’était rendu compte que la comptabilité de la société S. était « complètement bouleversée » (</w:t>
      </w:r>
      <w:r>
        <w:rPr>
          <w:i/>
          <w:lang w:val="fr-FR"/>
        </w:rPr>
        <w:t>completamente stravolta</w:t>
      </w:r>
      <w:r>
        <w:rPr>
          <w:lang w:val="fr-FR"/>
        </w:rPr>
        <w:t>) et que, cependant, il soutenait ne s’être jamais occupé de ladite comptabilité et ne l’avoir examinée attentivement pour la première fois qu’après la déclaration de faillite. Le tribunal estima qu’en tout état de cause l’entrepreneur était responsable des écritures comptables des sociétés qu’il gérait, d’autant plus lorsque, comme en l’espèce, les irrégularités constatées ne trouvaient pas leur source dans des erreurs ou négligences mais dans l’intention avérée de simuler une situation financière ne correspondant pas à la réalité.</w:t>
      </w:r>
    </w:p>
    <w:p w:rsidR="007A41EB" w:rsidRDefault="007A41EB" w:rsidP="00C940F4">
      <w:pPr>
        <w:pStyle w:val="ECHRPara"/>
        <w:rPr>
          <w:lang w:val="fr-FR"/>
        </w:rPr>
      </w:pPr>
      <w:bookmarkStart w:id="4" w:name="tribestimerequadministrateurdefait"/>
      <w:r>
        <w:rPr>
          <w:lang w:val="fr-FR"/>
        </w:rPr>
        <w:t>13</w:t>
      </w:r>
      <w:bookmarkEnd w:id="4"/>
      <w:r>
        <w:rPr>
          <w:lang w:val="fr-FR"/>
        </w:rPr>
        <w:t>.  Le tribunal nota que plusieurs éléments démontraient que le requérant avait occupé une position éminente dans les sociétés en question, au sein desquelles il avait placé plusieurs personnes de son entourage. Il releva de plus que huit témoins avaient déclaré que le requérant était actif au sein des sociétés et qu’il s’occupait des embauches. Pour le tribunal, la thèse de l’intéressé, selon laquelle son rôle avait été minime, avait donc été battue en brèche.</w:t>
      </w:r>
    </w:p>
    <w:p w:rsidR="007A41EB" w:rsidRDefault="007A41EB" w:rsidP="00C940F4">
      <w:pPr>
        <w:pStyle w:val="ECHRPara"/>
        <w:rPr>
          <w:lang w:val="fr-FR"/>
        </w:rPr>
      </w:pPr>
      <w:r>
        <w:rPr>
          <w:lang w:val="fr-FR"/>
        </w:rPr>
        <w:t>14.  Le tribunal nota par ailleurs que certaines ventes immobilières déclarées par la société V. étaient fictives et que le prix de ces ventes n’avait pas été versé dans les caisses de ladite société. S’agissant de certains transferts d’argent entre les sociétés administrées par le requérant, il</w:t>
      </w:r>
      <w:r w:rsidRPr="007A4AB5">
        <w:rPr>
          <w:lang w:val="fr-FR"/>
        </w:rPr>
        <w:t xml:space="preserve"> releva aussi</w:t>
      </w:r>
      <w:r>
        <w:rPr>
          <w:lang w:val="fr-FR"/>
        </w:rPr>
        <w:t xml:space="preserve"> que</w:t>
      </w:r>
      <w:r w:rsidRPr="007A4AB5">
        <w:rPr>
          <w:lang w:val="fr-FR"/>
        </w:rPr>
        <w:t>,</w:t>
      </w:r>
      <w:r>
        <w:rPr>
          <w:lang w:val="fr-FR"/>
        </w:rPr>
        <w:t xml:space="preserve"> à supposer même qu’il y eût une connexion entre ces sociétés, ceci n’exonérait pas l’intéressé de l’obligation de fournir des justificatifs pour les opérations en question.</w:t>
      </w:r>
    </w:p>
    <w:p w:rsidR="007A41EB" w:rsidRDefault="007A41EB" w:rsidP="00C940F4">
      <w:pPr>
        <w:pStyle w:val="ECHRHeading2"/>
        <w:rPr>
          <w:lang w:val="fr-FR"/>
        </w:rPr>
      </w:pPr>
      <w:r>
        <w:rPr>
          <w:lang w:val="fr-FR"/>
        </w:rPr>
        <w:t>C.  La procédure en appel</w:t>
      </w:r>
    </w:p>
    <w:p w:rsidR="007A41EB" w:rsidRDefault="007A41EB" w:rsidP="00C940F4">
      <w:pPr>
        <w:pStyle w:val="ECHRPara"/>
        <w:rPr>
          <w:lang w:val="fr-FR"/>
        </w:rPr>
      </w:pPr>
      <w:r>
        <w:rPr>
          <w:lang w:val="fr-FR"/>
        </w:rPr>
        <w:t>15.  Le requérant interjeta appel. Il soutenait, pour l’essentiel, qu’il était à l’origine de l’idée entrepreneuriale dans le secteur immobilier, mais que ce n’était pas lui qui l’avait mise en œuvre au travers de la gestion des sociétés. Il contesta le rejet de sa demande d’expertise comptable, laquelle visait à faire vérifier si l’analyse opérée par les curateurs de la faillite et les experts du parquet était correcte, ainsi que sa demande d’expertise graphologique de certains documents produits par la défense, laquelle aurait pu selon lui démontrer que le véritable gérant de la société I. était M. R.</w:t>
      </w:r>
    </w:p>
    <w:p w:rsidR="007A41EB" w:rsidRDefault="007A41EB" w:rsidP="00C940F4">
      <w:pPr>
        <w:pStyle w:val="ECHRPara"/>
        <w:rPr>
          <w:lang w:val="fr-FR"/>
        </w:rPr>
      </w:pPr>
      <w:r>
        <w:rPr>
          <w:lang w:val="fr-FR"/>
        </w:rPr>
        <w:t>16.  Le requérant demanda une nouvelle audition de deux témoins et la convocation et l’interrogation de M</w:t>
      </w:r>
      <w:r w:rsidRPr="00C7075A">
        <w:rPr>
          <w:vertAlign w:val="superscript"/>
          <w:lang w:val="fr-FR"/>
        </w:rPr>
        <w:t>me</w:t>
      </w:r>
      <w:r>
        <w:rPr>
          <w:lang w:val="fr-FR"/>
        </w:rPr>
        <w:t xml:space="preserve"> C., une ancienne employée de la société S., qui, bien que régulièrement citée, ne s’était pas présentée lors de </w:t>
      </w:r>
      <w:r w:rsidRPr="00784125">
        <w:rPr>
          <w:lang w:val="fr-FR"/>
        </w:rPr>
        <w:t xml:space="preserve">la procédure </w:t>
      </w:r>
      <w:r w:rsidRPr="006F106B">
        <w:rPr>
          <w:lang w:val="fr-FR"/>
        </w:rPr>
        <w:t>en</w:t>
      </w:r>
      <w:r w:rsidRPr="00784125">
        <w:rPr>
          <w:lang w:val="fr-FR"/>
        </w:rPr>
        <w:t xml:space="preserve"> première</w:t>
      </w:r>
      <w:r>
        <w:rPr>
          <w:lang w:val="fr-FR"/>
        </w:rPr>
        <w:t xml:space="preserve"> instance.</w:t>
      </w:r>
    </w:p>
    <w:p w:rsidR="007A41EB" w:rsidRDefault="007A41EB" w:rsidP="00C940F4">
      <w:pPr>
        <w:pStyle w:val="ECHRPara"/>
        <w:rPr>
          <w:lang w:val="fr-FR"/>
        </w:rPr>
      </w:pPr>
      <w:bookmarkStart w:id="5" w:name="revocationpartiecivile"/>
      <w:r>
        <w:rPr>
          <w:lang w:val="fr-FR"/>
        </w:rPr>
        <w:t>17</w:t>
      </w:r>
      <w:bookmarkEnd w:id="5"/>
      <w:r>
        <w:rPr>
          <w:lang w:val="fr-FR"/>
        </w:rPr>
        <w:t xml:space="preserve">.  Au cours de la </w:t>
      </w:r>
      <w:r w:rsidRPr="00784125">
        <w:rPr>
          <w:lang w:val="fr-FR"/>
        </w:rPr>
        <w:t xml:space="preserve">procédure </w:t>
      </w:r>
      <w:r w:rsidRPr="006F106B">
        <w:rPr>
          <w:lang w:val="fr-FR"/>
        </w:rPr>
        <w:t xml:space="preserve">en </w:t>
      </w:r>
      <w:r w:rsidRPr="00784125">
        <w:rPr>
          <w:lang w:val="fr-FR"/>
        </w:rPr>
        <w:t>appel,</w:t>
      </w:r>
      <w:r>
        <w:rPr>
          <w:lang w:val="fr-FR"/>
        </w:rPr>
        <w:t xml:space="preserve"> le requérant parvint à un règlement amiable avec les curateurs des sociétés déclarées en état de faillite et versa une somme d’argent à titre de dédommagement. Par conséquent, lesdits curateurs se désistèrent de leur constitution de partie civile.</w:t>
      </w:r>
    </w:p>
    <w:p w:rsidR="007A41EB" w:rsidRDefault="007A41EB" w:rsidP="00C940F4">
      <w:pPr>
        <w:pStyle w:val="ECHRPara"/>
        <w:rPr>
          <w:lang w:val="fr-FR"/>
        </w:rPr>
      </w:pPr>
      <w:r>
        <w:rPr>
          <w:lang w:val="fr-FR"/>
        </w:rPr>
        <w:t>18.  Par un arrêt du 28 juin 2007, dont le texte fut déposé au greffe le 26 septembre 2007, la cour d’appel de Gênes, estimant que des circonstances atténuantes reconnues au requérant devaient prévaloir sur une circonstance aggravante qui lui était reprochée, réduisit la peine qui lui avait été infligée à quatre ans et quatre mois d’emprisonnement.</w:t>
      </w:r>
    </w:p>
    <w:p w:rsidR="007A41EB" w:rsidRDefault="007A41EB" w:rsidP="00C940F4">
      <w:pPr>
        <w:pStyle w:val="ECHRPara"/>
        <w:rPr>
          <w:lang w:val="fr-FR"/>
        </w:rPr>
      </w:pPr>
      <w:bookmarkStart w:id="6" w:name="courappestimerequadministrateur"/>
      <w:r>
        <w:rPr>
          <w:lang w:val="fr-FR"/>
        </w:rPr>
        <w:t>19</w:t>
      </w:r>
      <w:bookmarkEnd w:id="6"/>
      <w:r>
        <w:rPr>
          <w:lang w:val="fr-FR"/>
        </w:rPr>
        <w:t>.  La cour d’appel nota que la défense soutenait qu’au sein des sociétés en question l’activité de gestion et la prise de décisions étaient faites par des personnes autres que le requérant, mais elle estima que cette thèse ne pouvait être accueillie à la lumière des éléments versés au dossier. De plus, elle releva qu’à l’époque des faits incriminés le requérant était l’administrateur unique (</w:t>
      </w:r>
      <w:r>
        <w:rPr>
          <w:i/>
          <w:lang w:val="fr-FR"/>
        </w:rPr>
        <w:t>amministratore unico</w:t>
      </w:r>
      <w:r>
        <w:rPr>
          <w:lang w:val="fr-FR"/>
        </w:rPr>
        <w:t>) ou le conseiller délégué de la société S. et, en outre, que les autres associés, les membres du conseil de surveillance et les consultants de la société S. étaient par ailleurs des personnes proches de lui. Partageant les conclusions auxquelles les experts nommés en première instance étaient parvenus, la cour d’appel estima qu’il ne s’avérait pas nécessaire de rouvrir l’instruction.</w:t>
      </w:r>
    </w:p>
    <w:p w:rsidR="007A41EB" w:rsidRPr="007E05DD" w:rsidRDefault="007A41EB" w:rsidP="00C940F4">
      <w:pPr>
        <w:pStyle w:val="ECHRPara"/>
        <w:rPr>
          <w:lang w:val="fr-FR"/>
        </w:rPr>
      </w:pPr>
      <w:bookmarkStart w:id="7" w:name="cappnogroupe"/>
      <w:r>
        <w:rPr>
          <w:lang w:val="fr-FR"/>
        </w:rPr>
        <w:t>20</w:t>
      </w:r>
      <w:bookmarkEnd w:id="7"/>
      <w:r>
        <w:rPr>
          <w:lang w:val="fr-FR"/>
        </w:rPr>
        <w:t xml:space="preserve">.  La cour d’appel nota que le requérant avait demandé à ne se voir infliger qu’une seule augmentation de peine pour les </w:t>
      </w:r>
      <w:r w:rsidRPr="004479A8">
        <w:rPr>
          <w:lang w:val="fr-FR"/>
        </w:rPr>
        <w:t>différents épisodes</w:t>
      </w:r>
      <w:r>
        <w:rPr>
          <w:lang w:val="fr-FR"/>
        </w:rPr>
        <w:t xml:space="preserve"> de banqueroute, et ce au titre de l’article 219 de la loi sur la faillite applicable lorsque le </w:t>
      </w:r>
      <w:r w:rsidRPr="009D36AA">
        <w:rPr>
          <w:lang w:val="fr-FR"/>
        </w:rPr>
        <w:t>co</w:t>
      </w:r>
      <w:r>
        <w:rPr>
          <w:lang w:val="fr-FR"/>
        </w:rPr>
        <w:t>upable avait commis</w:t>
      </w:r>
      <w:r w:rsidRPr="009D36AA">
        <w:rPr>
          <w:lang w:val="fr-FR"/>
        </w:rPr>
        <w:t xml:space="preserve"> </w:t>
      </w:r>
      <w:r>
        <w:rPr>
          <w:lang w:val="fr-FR"/>
        </w:rPr>
        <w:t xml:space="preserve">plusieurs infractions. La cour d’appel estima que cette disposition n’était pas pertinente en l’espèce, étant donné qu’il était </w:t>
      </w:r>
      <w:r w:rsidRPr="004479A8">
        <w:rPr>
          <w:lang w:val="fr-FR"/>
        </w:rPr>
        <w:t>question d</w:t>
      </w:r>
      <w:r>
        <w:rPr>
          <w:lang w:val="fr-FR"/>
        </w:rPr>
        <w:t>’</w:t>
      </w:r>
      <w:r w:rsidRPr="004479A8">
        <w:rPr>
          <w:lang w:val="fr-FR"/>
        </w:rPr>
        <w:t xml:space="preserve">épisodes </w:t>
      </w:r>
      <w:r>
        <w:rPr>
          <w:lang w:val="fr-FR"/>
        </w:rPr>
        <w:t xml:space="preserve">de banqueroute </w:t>
      </w:r>
      <w:r w:rsidRPr="004479A8">
        <w:rPr>
          <w:lang w:val="fr-FR"/>
        </w:rPr>
        <w:t>relatifs</w:t>
      </w:r>
      <w:r>
        <w:rPr>
          <w:lang w:val="fr-FR"/>
        </w:rPr>
        <w:t xml:space="preserve"> à des sociétés différentes et distinctes, qui n’étaient liées entre elles que par la présence du requérant parmi leurs administrateurs, et qu’il ne s’agissait donc pas d’un « groupe » de sociétés.</w:t>
      </w:r>
    </w:p>
    <w:p w:rsidR="007A41EB" w:rsidRDefault="007A41EB" w:rsidP="00C940F4">
      <w:pPr>
        <w:pStyle w:val="ECHRHeading2"/>
        <w:rPr>
          <w:lang w:val="fr-FR"/>
        </w:rPr>
      </w:pPr>
      <w:r>
        <w:rPr>
          <w:lang w:val="fr-FR"/>
        </w:rPr>
        <w:t>D.  La procédure en cassation</w:t>
      </w:r>
    </w:p>
    <w:p w:rsidR="007A41EB" w:rsidRDefault="007A41EB" w:rsidP="00C940F4">
      <w:pPr>
        <w:pStyle w:val="ECHRPara"/>
        <w:rPr>
          <w:lang w:val="fr-FR"/>
        </w:rPr>
      </w:pPr>
      <w:r>
        <w:rPr>
          <w:lang w:val="fr-FR"/>
        </w:rPr>
        <w:t xml:space="preserve">21.  Le requérant se pourvut en cassation. Il alléguait que les sociétés I., S. et V. faisaient en réalité partie d’un groupe de sociétés contrôlé par la </w:t>
      </w:r>
      <w:r>
        <w:rPr>
          <w:i/>
          <w:lang w:val="fr-FR"/>
        </w:rPr>
        <w:t>Lucky Stars Holding International</w:t>
      </w:r>
      <w:r>
        <w:rPr>
          <w:lang w:val="fr-FR"/>
        </w:rPr>
        <w:t xml:space="preserve">, dont le patron était – à ses dires – M. M. De plus, il soutenait qu’il avait été qualifié d’administrateur </w:t>
      </w:r>
      <w:r>
        <w:rPr>
          <w:i/>
          <w:lang w:val="fr-FR"/>
        </w:rPr>
        <w:t xml:space="preserve">de facto </w:t>
      </w:r>
      <w:r>
        <w:rPr>
          <w:lang w:val="fr-FR"/>
        </w:rPr>
        <w:t>des sociétés en question en l’absence de preuves suffisantes. Enfin, il estimait que, en tout état de cause, s’agissant selon lui d’un groupe de sociétés, les transferts d’argent entre celles-ci n’étaient pas constitutifs d’une infraction pénale car, selon lui, réalisés dans l’intérêt du groupe et de ses créanciers.</w:t>
      </w:r>
    </w:p>
    <w:p w:rsidR="007A41EB" w:rsidRDefault="007A41EB" w:rsidP="00C940F4">
      <w:pPr>
        <w:pStyle w:val="ECHRPara"/>
        <w:rPr>
          <w:lang w:val="fr-FR"/>
        </w:rPr>
      </w:pPr>
      <w:r>
        <w:rPr>
          <w:lang w:val="fr-FR"/>
        </w:rPr>
        <w:t>22.  Par un arrêt du 17 décembre 2008, dont le texte fut déposé au greffe le 13 janvier 2009, la Cour de cassation, estimant que la cour d’appel avait motivé de façon logique et correcte tous les points controversés, débouta le requérant de son pourvoi.</w:t>
      </w:r>
    </w:p>
    <w:p w:rsidR="007A41EB" w:rsidRPr="00794E45" w:rsidRDefault="007A41EB" w:rsidP="00C940F4">
      <w:pPr>
        <w:pStyle w:val="ECHRPara"/>
        <w:rPr>
          <w:lang w:val="fr-FR"/>
        </w:rPr>
      </w:pPr>
      <w:bookmarkStart w:id="8" w:name="ccassestimereqadministrateur"/>
      <w:r>
        <w:rPr>
          <w:lang w:val="fr-FR"/>
        </w:rPr>
        <w:t>23</w:t>
      </w:r>
      <w:bookmarkEnd w:id="8"/>
      <w:r>
        <w:rPr>
          <w:lang w:val="fr-FR"/>
        </w:rPr>
        <w:t xml:space="preserve">.  La Cour de cassation nota que, selon une jurisprudence bien établie, était responsable de banqueroute la personne qui exerçait une activité de gestion constante des sociétés. Pour la haute juridiction, le requérant avait certes contesté être l’administrateur </w:t>
      </w:r>
      <w:r>
        <w:rPr>
          <w:i/>
          <w:lang w:val="fr-FR"/>
        </w:rPr>
        <w:t xml:space="preserve">de facto </w:t>
      </w:r>
      <w:r>
        <w:rPr>
          <w:lang w:val="fr-FR"/>
        </w:rPr>
        <w:t>des sociétés concernées, mais il n’en demeurait pas moins que les juges du fond avaient retenu cette qualité chez l’intéressé sur la base de nombreuses preuves, y compris de témoignages.</w:t>
      </w:r>
    </w:p>
    <w:p w:rsidR="007A41EB" w:rsidRPr="00706345" w:rsidRDefault="007A41EB" w:rsidP="00C940F4">
      <w:pPr>
        <w:pStyle w:val="ECHRPara"/>
        <w:rPr>
          <w:lang w:val="fr-FR"/>
        </w:rPr>
      </w:pPr>
      <w:bookmarkStart w:id="9" w:name="ccassart2634nonsiapplica"/>
      <w:r>
        <w:rPr>
          <w:lang w:val="fr-FR"/>
        </w:rPr>
        <w:t>24</w:t>
      </w:r>
      <w:bookmarkEnd w:id="9"/>
      <w:r>
        <w:rPr>
          <w:lang w:val="fr-FR"/>
        </w:rPr>
        <w:t>.  La Cour de cassation jugea que l’existence d’un groupe de sociétés n’excluait pas l’infraction de banqueroute lorsque, comme en l’espèce, les transferts de fonds d’une société à l’autre avaient eu lieu sans contrepartie sérieuse et effective pour la société dont le patrimoine avait été amoindri. Elle considéra que l’article 2634 § 3 du code civil (ci-après le « CC »), selon lequel le profit d’une société n’était pas « injuste » s’il était compensé par les avantages liés au fait que la société faisait partie d’un groupe, ne trouvait d’ailleurs pas application dans le cadre des dispositions pénales de la loi sur la faillite.</w:t>
      </w:r>
    </w:p>
    <w:p w:rsidR="007A41EB" w:rsidRPr="00706345" w:rsidRDefault="007A41EB" w:rsidP="00C940F4">
      <w:pPr>
        <w:pStyle w:val="ECHRTitle1"/>
        <w:rPr>
          <w:lang w:val="fr-FR"/>
        </w:rPr>
      </w:pPr>
      <w:r w:rsidRPr="00706345">
        <w:rPr>
          <w:lang w:val="fr-FR"/>
        </w:rPr>
        <w:t>GRIEFS</w:t>
      </w:r>
    </w:p>
    <w:p w:rsidR="007A41EB" w:rsidRPr="00F64D31" w:rsidRDefault="007A41EB" w:rsidP="00C940F4">
      <w:pPr>
        <w:pStyle w:val="ECHRPara"/>
        <w:rPr>
          <w:lang w:val="fr-FR"/>
        </w:rPr>
      </w:pPr>
      <w:r>
        <w:rPr>
          <w:lang w:val="fr-FR"/>
        </w:rPr>
        <w:t>25.  </w:t>
      </w:r>
      <w:r w:rsidRPr="009F7DC3">
        <w:rPr>
          <w:lang w:val="fr-FR"/>
        </w:rPr>
        <w:t>Invoquant l</w:t>
      </w:r>
      <w:r>
        <w:rPr>
          <w:lang w:val="fr-FR"/>
        </w:rPr>
        <w:t>’</w:t>
      </w:r>
      <w:r w:rsidRPr="009F7DC3">
        <w:rPr>
          <w:lang w:val="fr-FR"/>
        </w:rPr>
        <w:t>article 7 §</w:t>
      </w:r>
      <w:r>
        <w:rPr>
          <w:lang w:val="fr-FR"/>
        </w:rPr>
        <w:t> </w:t>
      </w:r>
      <w:r w:rsidRPr="009F7DC3">
        <w:rPr>
          <w:lang w:val="fr-FR"/>
        </w:rPr>
        <w:t>1 de la Convention, se requérant se plaint d</w:t>
      </w:r>
      <w:r>
        <w:rPr>
          <w:lang w:val="fr-FR"/>
        </w:rPr>
        <w:t>’</w:t>
      </w:r>
      <w:r w:rsidRPr="009F7DC3">
        <w:rPr>
          <w:lang w:val="fr-FR"/>
        </w:rPr>
        <w:t xml:space="preserve">avoir été condamné pour </w:t>
      </w:r>
      <w:r>
        <w:rPr>
          <w:lang w:val="fr-FR"/>
        </w:rPr>
        <w:t>des</w:t>
      </w:r>
      <w:r w:rsidRPr="009F7DC3">
        <w:rPr>
          <w:lang w:val="fr-FR"/>
        </w:rPr>
        <w:t xml:space="preserve"> fait</w:t>
      </w:r>
      <w:r>
        <w:rPr>
          <w:lang w:val="fr-FR"/>
        </w:rPr>
        <w:t>s</w:t>
      </w:r>
      <w:r w:rsidRPr="009F7DC3">
        <w:rPr>
          <w:lang w:val="fr-FR"/>
        </w:rPr>
        <w:t xml:space="preserve"> qui</w:t>
      </w:r>
      <w:r>
        <w:rPr>
          <w:lang w:val="fr-FR"/>
        </w:rPr>
        <w:t>, à ses yeux,</w:t>
      </w:r>
      <w:r w:rsidRPr="009F7DC3">
        <w:rPr>
          <w:lang w:val="fr-FR"/>
        </w:rPr>
        <w:t xml:space="preserve"> n</w:t>
      </w:r>
      <w:r>
        <w:rPr>
          <w:lang w:val="fr-FR"/>
        </w:rPr>
        <w:t>’</w:t>
      </w:r>
      <w:r w:rsidRPr="00F64D31">
        <w:rPr>
          <w:lang w:val="fr-FR"/>
        </w:rPr>
        <w:t>étai</w:t>
      </w:r>
      <w:r>
        <w:rPr>
          <w:lang w:val="fr-FR"/>
        </w:rPr>
        <w:t>en</w:t>
      </w:r>
      <w:r w:rsidRPr="00F64D31">
        <w:rPr>
          <w:lang w:val="fr-FR"/>
        </w:rPr>
        <w:t>t plus érigé</w:t>
      </w:r>
      <w:r>
        <w:rPr>
          <w:lang w:val="fr-FR"/>
        </w:rPr>
        <w:t>s</w:t>
      </w:r>
      <w:r w:rsidRPr="00F64D31">
        <w:rPr>
          <w:lang w:val="fr-FR"/>
        </w:rPr>
        <w:t xml:space="preserve"> en infraction par la loi.</w:t>
      </w:r>
    </w:p>
    <w:p w:rsidR="007A41EB" w:rsidRDefault="007A41EB" w:rsidP="00C940F4">
      <w:pPr>
        <w:pStyle w:val="ECHRPara"/>
        <w:rPr>
          <w:lang w:val="fr-FR"/>
        </w:rPr>
      </w:pPr>
      <w:r>
        <w:rPr>
          <w:lang w:val="fr-FR"/>
        </w:rPr>
        <w:t>26</w:t>
      </w:r>
      <w:r w:rsidRPr="009F7DC3">
        <w:rPr>
          <w:lang w:val="fr-FR"/>
        </w:rPr>
        <w:t>.  Invoquant l</w:t>
      </w:r>
      <w:r>
        <w:rPr>
          <w:lang w:val="fr-FR"/>
        </w:rPr>
        <w:t>’</w:t>
      </w:r>
      <w:r w:rsidRPr="009F7DC3">
        <w:rPr>
          <w:lang w:val="fr-FR"/>
        </w:rPr>
        <w:t>article 6</w:t>
      </w:r>
      <w:r>
        <w:rPr>
          <w:lang w:val="fr-FR"/>
        </w:rPr>
        <w:t> </w:t>
      </w:r>
      <w:r w:rsidRPr="009F7DC3">
        <w:rPr>
          <w:lang w:val="fr-FR"/>
        </w:rPr>
        <w:t>§§</w:t>
      </w:r>
      <w:r>
        <w:rPr>
          <w:lang w:val="fr-FR"/>
        </w:rPr>
        <w:t> </w:t>
      </w:r>
      <w:r w:rsidRPr="009F7DC3">
        <w:rPr>
          <w:lang w:val="fr-FR"/>
        </w:rPr>
        <w:t>1 et 3</w:t>
      </w:r>
      <w:r>
        <w:rPr>
          <w:lang w:val="fr-FR"/>
        </w:rPr>
        <w:t> </w:t>
      </w:r>
      <w:r w:rsidRPr="009F7DC3">
        <w:rPr>
          <w:lang w:val="fr-FR"/>
        </w:rPr>
        <w:t>d) de la Convention, le requérant se plaint</w:t>
      </w:r>
      <w:r w:rsidRPr="002617AF">
        <w:rPr>
          <w:lang w:val="fr-FR"/>
        </w:rPr>
        <w:t xml:space="preserve"> d</w:t>
      </w:r>
      <w:r>
        <w:rPr>
          <w:lang w:val="fr-FR"/>
        </w:rPr>
        <w:t>’</w:t>
      </w:r>
      <w:r w:rsidRPr="009F7DC3">
        <w:rPr>
          <w:lang w:val="fr-FR"/>
        </w:rPr>
        <w:t>un manque d</w:t>
      </w:r>
      <w:r>
        <w:rPr>
          <w:lang w:val="fr-FR"/>
        </w:rPr>
        <w:t>’</w:t>
      </w:r>
      <w:r w:rsidRPr="009F7DC3">
        <w:rPr>
          <w:lang w:val="fr-FR"/>
        </w:rPr>
        <w:t>équité de la procédure pénale dirigée à son encontre</w:t>
      </w:r>
      <w:r>
        <w:rPr>
          <w:lang w:val="fr-FR"/>
        </w:rPr>
        <w:t>,</w:t>
      </w:r>
      <w:r w:rsidRPr="009F7DC3">
        <w:rPr>
          <w:lang w:val="fr-FR"/>
        </w:rPr>
        <w:t xml:space="preserve"> ainsi que d</w:t>
      </w:r>
      <w:r>
        <w:rPr>
          <w:lang w:val="fr-FR"/>
        </w:rPr>
        <w:t>’</w:t>
      </w:r>
      <w:r w:rsidRPr="009F7DC3">
        <w:rPr>
          <w:lang w:val="fr-FR"/>
        </w:rPr>
        <w:t>un manque d</w:t>
      </w:r>
      <w:r>
        <w:rPr>
          <w:lang w:val="fr-FR"/>
        </w:rPr>
        <w:t>’</w:t>
      </w:r>
      <w:r w:rsidRPr="009F7DC3">
        <w:rPr>
          <w:lang w:val="fr-FR"/>
        </w:rPr>
        <w:t>impartialité des juridictions nationales.</w:t>
      </w:r>
    </w:p>
    <w:p w:rsidR="007A41EB" w:rsidRPr="00706345" w:rsidRDefault="007A41EB" w:rsidP="00C940F4">
      <w:pPr>
        <w:pStyle w:val="ECHRTitle1"/>
        <w:rPr>
          <w:lang w:val="fr-FR"/>
        </w:rPr>
      </w:pPr>
      <w:r w:rsidRPr="00706345">
        <w:rPr>
          <w:lang w:val="fr-FR"/>
        </w:rPr>
        <w:t>EN DROIT</w:t>
      </w:r>
    </w:p>
    <w:p w:rsidR="007A41EB" w:rsidRDefault="007A41EB" w:rsidP="00C940F4">
      <w:pPr>
        <w:pStyle w:val="ECHRHeading2"/>
        <w:rPr>
          <w:lang w:val="fr-FR"/>
        </w:rPr>
      </w:pPr>
      <w:r w:rsidRPr="00693F69">
        <w:rPr>
          <w:lang w:val="fr-FR"/>
        </w:rPr>
        <w:t>A.  </w:t>
      </w:r>
      <w:r>
        <w:rPr>
          <w:lang w:val="fr-FR"/>
        </w:rPr>
        <w:t>Sur le g</w:t>
      </w:r>
      <w:r w:rsidRPr="00693F69">
        <w:rPr>
          <w:lang w:val="fr-FR"/>
        </w:rPr>
        <w:t xml:space="preserve">rief </w:t>
      </w:r>
      <w:r>
        <w:rPr>
          <w:lang w:val="fr-FR"/>
        </w:rPr>
        <w:t>tiré</w:t>
      </w:r>
      <w:r w:rsidRPr="00693F69">
        <w:rPr>
          <w:lang w:val="fr-FR"/>
        </w:rPr>
        <w:t xml:space="preserve"> de l</w:t>
      </w:r>
      <w:r>
        <w:rPr>
          <w:lang w:val="fr-FR"/>
        </w:rPr>
        <w:t>’</w:t>
      </w:r>
      <w:r w:rsidRPr="00693F69">
        <w:rPr>
          <w:lang w:val="fr-FR"/>
        </w:rPr>
        <w:t xml:space="preserve">article 7 </w:t>
      </w:r>
      <w:r w:rsidRPr="00362787">
        <w:rPr>
          <w:lang w:val="fr-FR"/>
        </w:rPr>
        <w:t>§ 1</w:t>
      </w:r>
      <w:r>
        <w:rPr>
          <w:lang w:val="fr-FR"/>
        </w:rPr>
        <w:t xml:space="preserve"> </w:t>
      </w:r>
      <w:r w:rsidRPr="00693F69">
        <w:rPr>
          <w:lang w:val="fr-FR"/>
        </w:rPr>
        <w:t>de la Convention</w:t>
      </w:r>
    </w:p>
    <w:p w:rsidR="007A41EB" w:rsidRDefault="007A41EB" w:rsidP="00C940F4">
      <w:pPr>
        <w:pStyle w:val="ECHRPara"/>
        <w:rPr>
          <w:lang w:val="fr-FR"/>
        </w:rPr>
      </w:pPr>
      <w:r>
        <w:rPr>
          <w:lang w:val="fr-FR"/>
        </w:rPr>
        <w:t>27.  Le requérant estime avoir été condamné pour des faits qui n’étaient plus érigés en infraction par la loi.</w:t>
      </w:r>
    </w:p>
    <w:p w:rsidR="007A41EB" w:rsidRDefault="007A41EB" w:rsidP="00C940F4">
      <w:pPr>
        <w:pStyle w:val="ECHRPara"/>
        <w:rPr>
          <w:lang w:val="fr-FR"/>
        </w:rPr>
      </w:pPr>
      <w:r>
        <w:rPr>
          <w:lang w:val="fr-FR"/>
        </w:rPr>
        <w:t xml:space="preserve">Il invoque l’article 7 </w:t>
      </w:r>
      <w:r w:rsidRPr="00362787">
        <w:rPr>
          <w:lang w:val="fr-FR"/>
        </w:rPr>
        <w:t>§ 1</w:t>
      </w:r>
      <w:r>
        <w:rPr>
          <w:lang w:val="fr-FR"/>
        </w:rPr>
        <w:t xml:space="preserve"> de la Convention, ainsi libellé :</w:t>
      </w:r>
    </w:p>
    <w:p w:rsidR="007A41EB" w:rsidRPr="00693F69" w:rsidRDefault="007A41EB" w:rsidP="00C940F4">
      <w:pPr>
        <w:pStyle w:val="ECHRParaQuote"/>
        <w:rPr>
          <w:lang w:val="fr-FR"/>
        </w:rPr>
      </w:pPr>
      <w:r w:rsidRPr="00693F69">
        <w:rPr>
          <w:lang w:val="fr-FR"/>
        </w:rPr>
        <w:t>«  Nul ne peut être condamné pour une action ou une omission qui, au moment où elle a été commise, ne constituait pas une infraction d</w:t>
      </w:r>
      <w:r>
        <w:rPr>
          <w:lang w:val="fr-FR"/>
        </w:rPr>
        <w:t>’</w:t>
      </w:r>
      <w:r w:rsidRPr="00693F69">
        <w:rPr>
          <w:lang w:val="fr-FR"/>
        </w:rPr>
        <w:t>après le droit national ou international. De même il n</w:t>
      </w:r>
      <w:r>
        <w:rPr>
          <w:lang w:val="fr-FR"/>
        </w:rPr>
        <w:t>’</w:t>
      </w:r>
      <w:r w:rsidRPr="00693F69">
        <w:rPr>
          <w:lang w:val="fr-FR"/>
        </w:rPr>
        <w:t>est infligé aucune peine plus forte que celle qui était applicable au moment où l</w:t>
      </w:r>
      <w:r>
        <w:rPr>
          <w:lang w:val="fr-FR"/>
        </w:rPr>
        <w:t>’</w:t>
      </w:r>
      <w:r w:rsidRPr="00693F69">
        <w:rPr>
          <w:lang w:val="fr-FR"/>
        </w:rPr>
        <w:t>infraction a été commise.</w:t>
      </w:r>
      <w:r>
        <w:rPr>
          <w:lang w:val="fr-FR"/>
        </w:rPr>
        <w:t> »</w:t>
      </w:r>
    </w:p>
    <w:p w:rsidR="007A41EB" w:rsidRDefault="007A41EB" w:rsidP="00C940F4">
      <w:pPr>
        <w:pStyle w:val="ECHRPara"/>
        <w:rPr>
          <w:lang w:val="fr-FR"/>
        </w:rPr>
      </w:pPr>
      <w:r>
        <w:rPr>
          <w:lang w:val="fr-FR"/>
        </w:rPr>
        <w:t xml:space="preserve">28.  Le requérant expose que, en </w:t>
      </w:r>
      <w:r w:rsidRPr="00D54B18">
        <w:rPr>
          <w:lang w:val="fr-FR"/>
        </w:rPr>
        <w:t>dépit – à ses dires –</w:t>
      </w:r>
      <w:r>
        <w:rPr>
          <w:lang w:val="fr-FR"/>
        </w:rPr>
        <w:t xml:space="preserve"> de l’opinion contraire de la doctrine, la jurisprudence interne a refusé de reconnaître, dans le cadre de l’infraction de banqueroute frauduleuse, toute pertinence à l’appartenance d’une société à un groupe. Il ajoute que le législateur, par la loi n</w:t>
      </w:r>
      <w:r w:rsidRPr="007C0B2A">
        <w:rPr>
          <w:vertAlign w:val="superscript"/>
          <w:lang w:val="fr-FR"/>
        </w:rPr>
        <w:t>o</w:t>
      </w:r>
      <w:r>
        <w:rPr>
          <w:lang w:val="fr-FR"/>
        </w:rPr>
        <w:t xml:space="preserve"> 61 du 11 avril 2002, a modifié l’article 2634 du CC, punissant l’« infidélité patrimoniale » des administrateurs qui, ayant un intérêt en conflit avec celui de la société, causent un préjudice à celle-ci afin de se procurer un profit injuste. Il indique notamment que, au troisième paragraphe de cette disposition, le législateur a précisé que le profit d’une société n’est pas « injuste » s’il est compensé par les avantages, réels ou prévisibles, liés au fait que la société fait partie d’un groupe. Par conséquent, pour le requérant, puisque l’article 223 de la loi sur la faillite, punissant la banqueroute frauduleuse, mentionne explicitement l’article 2634 du CC, les juges auraient dû vérifier s’il y avait, en l’espèce, une expectative raisonnable que les pertes d’une société fussent compensées par les avantages découlant de l’appartenance au groupe, ce que – d’après lui – ils n’ont pas fait.</w:t>
      </w:r>
    </w:p>
    <w:p w:rsidR="007A41EB" w:rsidRDefault="007A41EB" w:rsidP="00C940F4">
      <w:pPr>
        <w:pStyle w:val="ECHRPara"/>
        <w:rPr>
          <w:lang w:val="fr-FR"/>
        </w:rPr>
      </w:pPr>
      <w:r>
        <w:rPr>
          <w:lang w:val="fr-FR"/>
        </w:rPr>
        <w:t>29.  Le requérant soutient que si une telle vérification avait été effectuée, les juges internes seraient parvenus à la conclusion que les faits reprochés n’étaient plus érigés en infraction par la loi. Il affirme que le tribunal de Gênes a admis l’existence d’un groupe de sociétés, alors que la cour d’appel en a nié l’existence par une motivation qu’il qualifie de « déconcertante ».</w:t>
      </w:r>
    </w:p>
    <w:p w:rsidR="007A41EB" w:rsidRPr="008A42D2" w:rsidRDefault="007A41EB" w:rsidP="00C940F4">
      <w:pPr>
        <w:pStyle w:val="ECHRPara"/>
        <w:rPr>
          <w:lang w:val="fr-FR"/>
        </w:rPr>
      </w:pPr>
      <w:r>
        <w:rPr>
          <w:rStyle w:val="sb8d990e2"/>
          <w:lang w:val="fr-FR"/>
        </w:rPr>
        <w:t>30.  </w:t>
      </w:r>
      <w:r w:rsidRPr="008A42D2">
        <w:rPr>
          <w:lang w:val="fr-FR"/>
        </w:rPr>
        <w:t>La garantie que consacre l</w:t>
      </w:r>
      <w:r>
        <w:rPr>
          <w:lang w:val="fr-FR"/>
        </w:rPr>
        <w:t>’</w:t>
      </w:r>
      <w:r w:rsidRPr="008A42D2">
        <w:rPr>
          <w:lang w:val="fr-FR"/>
        </w:rPr>
        <w:t>article 7, élément essentiel de la prééminence du droit, occupe une place primordiale dans le système de protection de la Convention, comme l</w:t>
      </w:r>
      <w:r>
        <w:rPr>
          <w:lang w:val="fr-FR"/>
        </w:rPr>
        <w:t>’</w:t>
      </w:r>
      <w:r w:rsidRPr="008A42D2">
        <w:rPr>
          <w:lang w:val="fr-FR"/>
        </w:rPr>
        <w:t>atteste le fait que l</w:t>
      </w:r>
      <w:r>
        <w:rPr>
          <w:lang w:val="fr-FR"/>
        </w:rPr>
        <w:t>’</w:t>
      </w:r>
      <w:r w:rsidRPr="008A42D2">
        <w:rPr>
          <w:lang w:val="fr-FR"/>
        </w:rPr>
        <w:t>article 15 n</w:t>
      </w:r>
      <w:r>
        <w:rPr>
          <w:lang w:val="fr-FR"/>
        </w:rPr>
        <w:t>’</w:t>
      </w:r>
      <w:r w:rsidRPr="008A42D2">
        <w:rPr>
          <w:lang w:val="fr-FR"/>
        </w:rPr>
        <w:t>y autorise aucune dérogation même en temps de guerre ou autre danger public menaçant la vie de la nation. Ainsi qu</w:t>
      </w:r>
      <w:r>
        <w:rPr>
          <w:lang w:val="fr-FR"/>
        </w:rPr>
        <w:t>’</w:t>
      </w:r>
      <w:r w:rsidRPr="008A42D2">
        <w:rPr>
          <w:lang w:val="fr-FR"/>
        </w:rPr>
        <w:t>il découle de son objet et de son but, on doit l</w:t>
      </w:r>
      <w:r>
        <w:rPr>
          <w:lang w:val="fr-FR"/>
        </w:rPr>
        <w:t>’</w:t>
      </w:r>
      <w:r w:rsidRPr="008A42D2">
        <w:rPr>
          <w:lang w:val="fr-FR"/>
        </w:rPr>
        <w:t>interpréter et l</w:t>
      </w:r>
      <w:r>
        <w:rPr>
          <w:lang w:val="fr-FR"/>
        </w:rPr>
        <w:t>’</w:t>
      </w:r>
      <w:r w:rsidRPr="008A42D2">
        <w:rPr>
          <w:lang w:val="fr-FR"/>
        </w:rPr>
        <w:t>appliquer de manière à assurer une protection effective contre les poursuites, les condamnations et les sanctions arbitraires (</w:t>
      </w:r>
      <w:r>
        <w:rPr>
          <w:i/>
          <w:iCs/>
          <w:lang w:val="fr-FR"/>
        </w:rPr>
        <w:t xml:space="preserve">Del Rio Prada c. Espagne </w:t>
      </w:r>
      <w:r>
        <w:rPr>
          <w:iCs/>
          <w:lang w:val="fr-FR"/>
        </w:rPr>
        <w:t>[GC], n</w:t>
      </w:r>
      <w:r w:rsidRPr="007C0B2A">
        <w:rPr>
          <w:iCs/>
          <w:vertAlign w:val="superscript"/>
          <w:lang w:val="fr-FR"/>
        </w:rPr>
        <w:t>o</w:t>
      </w:r>
      <w:r>
        <w:rPr>
          <w:iCs/>
          <w:lang w:val="fr-FR"/>
        </w:rPr>
        <w:t xml:space="preserve"> 42750/09, § 77, CEDH 2013</w:t>
      </w:r>
      <w:r w:rsidRPr="008A42D2">
        <w:rPr>
          <w:lang w:val="fr-FR"/>
        </w:rPr>
        <w:t>).</w:t>
      </w:r>
    </w:p>
    <w:p w:rsidR="007A41EB" w:rsidRDefault="007A41EB" w:rsidP="00C53E23">
      <w:pPr>
        <w:pStyle w:val="ECHRPara"/>
        <w:rPr>
          <w:lang w:val="fr-FR"/>
        </w:rPr>
      </w:pPr>
      <w:r>
        <w:rPr>
          <w:lang w:val="fr-FR"/>
        </w:rPr>
        <w:t>31</w:t>
      </w:r>
      <w:r w:rsidRPr="008A42D2">
        <w:rPr>
          <w:lang w:val="fr-FR"/>
        </w:rPr>
        <w:t>.  </w:t>
      </w:r>
      <w:r w:rsidRPr="008A42D2">
        <w:rPr>
          <w:rFonts w:ascii="Times New (W1)" w:hAnsi="Times New (W1)" w:cs="Times New (W1)"/>
          <w:lang w:val="fr-FR"/>
        </w:rPr>
        <w:t>L</w:t>
      </w:r>
      <w:r>
        <w:rPr>
          <w:rFonts w:ascii="Times New (W1)" w:hAnsi="Times New (W1)" w:cs="Times New (W1)"/>
          <w:lang w:val="fr-FR"/>
        </w:rPr>
        <w:t>’</w:t>
      </w:r>
      <w:r w:rsidRPr="008A42D2">
        <w:rPr>
          <w:rFonts w:ascii="Times New (W1)" w:hAnsi="Times New (W1)" w:cs="Times New (W1)"/>
          <w:lang w:val="fr-FR"/>
        </w:rPr>
        <w:t>article 7 de la Convention ne se borne pas à prohiber l</w:t>
      </w:r>
      <w:r>
        <w:rPr>
          <w:rFonts w:ascii="Times New (W1)" w:hAnsi="Times New (W1)" w:cs="Times New (W1)"/>
          <w:lang w:val="fr-FR"/>
        </w:rPr>
        <w:t>’</w:t>
      </w:r>
      <w:r w:rsidRPr="008A42D2">
        <w:rPr>
          <w:rFonts w:ascii="Times New (W1)" w:hAnsi="Times New (W1)" w:cs="Times New (W1)"/>
          <w:lang w:val="fr-FR"/>
        </w:rPr>
        <w:t>application rétroact</w:t>
      </w:r>
      <w:r w:rsidRPr="008A42D2">
        <w:rPr>
          <w:lang w:val="fr-FR"/>
        </w:rPr>
        <w:t>ive du droit pénal au désavantage de l</w:t>
      </w:r>
      <w:r>
        <w:rPr>
          <w:lang w:val="fr-FR"/>
        </w:rPr>
        <w:t>’</w:t>
      </w:r>
      <w:r w:rsidRPr="008A42D2">
        <w:rPr>
          <w:lang w:val="fr-FR"/>
        </w:rPr>
        <w:t>accusé (voir, en ce qui concerne l</w:t>
      </w:r>
      <w:r>
        <w:rPr>
          <w:lang w:val="fr-FR"/>
        </w:rPr>
        <w:t>’</w:t>
      </w:r>
      <w:r w:rsidRPr="008A42D2">
        <w:rPr>
          <w:lang w:val="fr-FR"/>
        </w:rPr>
        <w:t>application rétroactive d</w:t>
      </w:r>
      <w:r>
        <w:rPr>
          <w:lang w:val="fr-FR"/>
        </w:rPr>
        <w:t>’</w:t>
      </w:r>
      <w:r w:rsidRPr="008A42D2">
        <w:rPr>
          <w:lang w:val="fr-FR"/>
        </w:rPr>
        <w:t xml:space="preserve">une peine, </w:t>
      </w:r>
      <w:r w:rsidRPr="008A42D2">
        <w:rPr>
          <w:i/>
          <w:lang w:val="fr-FR"/>
        </w:rPr>
        <w:t>Welch c. Royaume-Uni</w:t>
      </w:r>
      <w:r w:rsidRPr="008A42D2">
        <w:rPr>
          <w:lang w:val="fr-FR"/>
        </w:rPr>
        <w:t>, 9 février 1995, § 36, série A n</w:t>
      </w:r>
      <w:r w:rsidRPr="008A42D2">
        <w:rPr>
          <w:vertAlign w:val="superscript"/>
          <w:lang w:val="fr-FR"/>
        </w:rPr>
        <w:t>o</w:t>
      </w:r>
      <w:r w:rsidRPr="008A42D2">
        <w:rPr>
          <w:lang w:val="fr-FR"/>
        </w:rPr>
        <w:t xml:space="preserve"> 307</w:t>
      </w:r>
      <w:r>
        <w:rPr>
          <w:lang w:val="fr-FR"/>
        </w:rPr>
        <w:t>-A ;</w:t>
      </w:r>
      <w:r w:rsidRPr="008A42D2">
        <w:rPr>
          <w:lang w:val="fr-FR"/>
        </w:rPr>
        <w:t xml:space="preserve"> </w:t>
      </w:r>
      <w:r w:rsidRPr="008A42D2">
        <w:rPr>
          <w:i/>
          <w:lang w:val="fr-FR"/>
        </w:rPr>
        <w:t>Jamil c. France</w:t>
      </w:r>
      <w:r w:rsidRPr="008A42D2">
        <w:rPr>
          <w:lang w:val="fr-FR"/>
        </w:rPr>
        <w:t>, 8 juin 1995, § 35, série A n</w:t>
      </w:r>
      <w:r w:rsidRPr="008A42D2">
        <w:rPr>
          <w:vertAlign w:val="superscript"/>
          <w:lang w:val="fr-FR"/>
        </w:rPr>
        <w:t>o</w:t>
      </w:r>
      <w:r w:rsidRPr="008A42D2">
        <w:rPr>
          <w:lang w:val="fr-FR"/>
        </w:rPr>
        <w:t xml:space="preserve"> 317</w:t>
      </w:r>
      <w:r>
        <w:rPr>
          <w:lang w:val="fr-FR"/>
        </w:rPr>
        <w:t>-</w:t>
      </w:r>
      <w:r w:rsidRPr="008A42D2">
        <w:rPr>
          <w:lang w:val="fr-FR"/>
        </w:rPr>
        <w:t>B</w:t>
      </w:r>
      <w:r>
        <w:rPr>
          <w:lang w:val="fr-FR"/>
        </w:rPr>
        <w:t> ;</w:t>
      </w:r>
      <w:r w:rsidRPr="008A42D2">
        <w:rPr>
          <w:lang w:val="fr-FR"/>
        </w:rPr>
        <w:t xml:space="preserve"> </w:t>
      </w:r>
      <w:r w:rsidRPr="008A42D2">
        <w:rPr>
          <w:i/>
          <w:lang w:val="fr-FR"/>
        </w:rPr>
        <w:t>Ecer et Zeyrek c. Turquie</w:t>
      </w:r>
      <w:r w:rsidRPr="008A42D2">
        <w:rPr>
          <w:lang w:val="fr-FR"/>
        </w:rPr>
        <w:t>, n</w:t>
      </w:r>
      <w:r w:rsidRPr="008A42D2">
        <w:rPr>
          <w:vertAlign w:val="superscript"/>
          <w:lang w:val="fr-FR"/>
        </w:rPr>
        <w:t>os</w:t>
      </w:r>
      <w:r w:rsidRPr="008A42D2">
        <w:rPr>
          <w:lang w:val="fr-FR"/>
        </w:rPr>
        <w:t xml:space="preserve"> 29295/95 et 29363/95, §</w:t>
      </w:r>
      <w:r>
        <w:rPr>
          <w:lang w:val="fr-FR"/>
        </w:rPr>
        <w:t> </w:t>
      </w:r>
      <w:r w:rsidRPr="008A42D2">
        <w:rPr>
          <w:lang w:val="fr-FR"/>
        </w:rPr>
        <w:t>36, CEDH 2001</w:t>
      </w:r>
      <w:r>
        <w:rPr>
          <w:lang w:val="fr-FR"/>
        </w:rPr>
        <w:t>-</w:t>
      </w:r>
      <w:r w:rsidRPr="008A42D2">
        <w:rPr>
          <w:lang w:val="fr-FR"/>
        </w:rPr>
        <w:t>II</w:t>
      </w:r>
      <w:r>
        <w:rPr>
          <w:lang w:val="fr-FR"/>
        </w:rPr>
        <w:t> ;</w:t>
      </w:r>
      <w:r w:rsidRPr="008A42D2">
        <w:rPr>
          <w:lang w:val="fr-FR"/>
        </w:rPr>
        <w:t xml:space="preserve"> et </w:t>
      </w:r>
      <w:r w:rsidRPr="008A42D2">
        <w:rPr>
          <w:i/>
          <w:lang w:val="fr-FR"/>
        </w:rPr>
        <w:t>Mihai Toma c. Roumanie</w:t>
      </w:r>
      <w:r w:rsidRPr="008A42D2">
        <w:rPr>
          <w:lang w:val="fr-FR"/>
        </w:rPr>
        <w:t>, n</w:t>
      </w:r>
      <w:r w:rsidRPr="008A42D2">
        <w:rPr>
          <w:vertAlign w:val="superscript"/>
          <w:lang w:val="fr-FR"/>
        </w:rPr>
        <w:t>o</w:t>
      </w:r>
      <w:r w:rsidRPr="008A42D2">
        <w:rPr>
          <w:lang w:val="fr-FR"/>
        </w:rPr>
        <w:t xml:space="preserve"> 1051/06</w:t>
      </w:r>
      <w:r w:rsidRPr="008A42D2">
        <w:rPr>
          <w:snapToGrid w:val="0"/>
          <w:szCs w:val="24"/>
          <w:lang w:val="fr-FR"/>
        </w:rPr>
        <w:t>, §§ 26-31, 24 </w:t>
      </w:r>
      <w:r w:rsidRPr="008A42D2">
        <w:rPr>
          <w:szCs w:val="24"/>
          <w:lang w:val="fr-FR"/>
        </w:rPr>
        <w:t>janvier</w:t>
      </w:r>
      <w:r w:rsidRPr="008A42D2">
        <w:rPr>
          <w:snapToGrid w:val="0"/>
          <w:szCs w:val="24"/>
          <w:lang w:val="fr-FR"/>
        </w:rPr>
        <w:t xml:space="preserve"> 2012)</w:t>
      </w:r>
      <w:r w:rsidRPr="008A42D2">
        <w:rPr>
          <w:lang w:val="fr-FR"/>
        </w:rPr>
        <w:t>. Il consacre aussi, de manière plus générale, le principe de la légalité des délits et des peines –</w:t>
      </w:r>
      <w:r>
        <w:rPr>
          <w:lang w:val="fr-FR"/>
        </w:rPr>
        <w:t xml:space="preserve"> </w:t>
      </w:r>
      <w:r w:rsidRPr="008A42D2">
        <w:rPr>
          <w:lang w:val="fr-FR"/>
        </w:rPr>
        <w:t>« </w:t>
      </w:r>
      <w:r w:rsidRPr="008A42D2">
        <w:rPr>
          <w:i/>
          <w:iCs/>
          <w:lang w:val="fr-FR"/>
        </w:rPr>
        <w:t>nullum crimen, nulla poena sine lege</w:t>
      </w:r>
      <w:r w:rsidRPr="008A42D2">
        <w:rPr>
          <w:iCs/>
          <w:lang w:val="fr-FR"/>
        </w:rPr>
        <w:t> »</w:t>
      </w:r>
      <w:r w:rsidRPr="008A42D2">
        <w:rPr>
          <w:lang w:val="fr-FR"/>
        </w:rPr>
        <w:t xml:space="preserve"> – (</w:t>
      </w:r>
      <w:r w:rsidRPr="008A42D2">
        <w:rPr>
          <w:i/>
          <w:iCs/>
          <w:lang w:val="fr-FR"/>
        </w:rPr>
        <w:t>Kokkinakis c. Grèce</w:t>
      </w:r>
      <w:r w:rsidRPr="008A42D2">
        <w:rPr>
          <w:lang w:val="fr-FR"/>
        </w:rPr>
        <w:t>, 25 mai 1993, § 52, série A n</w:t>
      </w:r>
      <w:r w:rsidRPr="008A42D2">
        <w:rPr>
          <w:vertAlign w:val="superscript"/>
          <w:lang w:val="fr-FR"/>
        </w:rPr>
        <w:t>o</w:t>
      </w:r>
      <w:r w:rsidRPr="008A42D2">
        <w:rPr>
          <w:lang w:val="fr-FR"/>
        </w:rPr>
        <w:t> 260-A). S</w:t>
      </w:r>
      <w:r>
        <w:rPr>
          <w:lang w:val="fr-FR"/>
        </w:rPr>
        <w:t>’</w:t>
      </w:r>
      <w:r w:rsidRPr="008A42D2">
        <w:rPr>
          <w:lang w:val="fr-FR"/>
        </w:rPr>
        <w:t>il interdit en particulier d</w:t>
      </w:r>
      <w:r>
        <w:rPr>
          <w:lang w:val="fr-FR"/>
        </w:rPr>
        <w:t>’</w:t>
      </w:r>
      <w:r w:rsidRPr="008A42D2">
        <w:rPr>
          <w:lang w:val="fr-FR"/>
        </w:rPr>
        <w:t>étendre le champ d</w:t>
      </w:r>
      <w:r>
        <w:rPr>
          <w:lang w:val="fr-FR"/>
        </w:rPr>
        <w:t>’</w:t>
      </w:r>
      <w:r w:rsidRPr="008A42D2">
        <w:rPr>
          <w:lang w:val="fr-FR"/>
        </w:rPr>
        <w:t>application des infractions existantes à des faits qui, antérieurement, ne constituaient pas des infractions, il commande en outre de ne pas appliquer la loi pénale de manière extensive au détriment de l</w:t>
      </w:r>
      <w:r>
        <w:rPr>
          <w:lang w:val="fr-FR"/>
        </w:rPr>
        <w:t>’</w:t>
      </w:r>
      <w:r w:rsidRPr="008A42D2">
        <w:rPr>
          <w:lang w:val="fr-FR"/>
        </w:rPr>
        <w:t>accusé, par exemple par analogie (</w:t>
      </w:r>
      <w:r w:rsidRPr="008A42D2">
        <w:rPr>
          <w:i/>
          <w:iCs/>
          <w:lang w:val="fr-FR"/>
        </w:rPr>
        <w:t>Coëme et autres c. Belgique</w:t>
      </w:r>
      <w:r w:rsidRPr="008A42D2">
        <w:rPr>
          <w:lang w:val="fr-FR"/>
        </w:rPr>
        <w:t>, n</w:t>
      </w:r>
      <w:r w:rsidRPr="008A42D2">
        <w:rPr>
          <w:vertAlign w:val="superscript"/>
          <w:lang w:val="fr-FR"/>
        </w:rPr>
        <w:t>os</w:t>
      </w:r>
      <w:r w:rsidRPr="008A42D2">
        <w:rPr>
          <w:lang w:val="fr-FR"/>
        </w:rPr>
        <w:t xml:space="preserve"> 32492/96, 32547/96, 32548/96, 33209/96 et 33210/96, § 145, CEDH 2000-VII</w:t>
      </w:r>
      <w:r>
        <w:rPr>
          <w:lang w:val="fr-FR"/>
        </w:rPr>
        <w:t xml:space="preserve">, et </w:t>
      </w:r>
      <w:r>
        <w:rPr>
          <w:i/>
          <w:lang w:val="fr-FR"/>
        </w:rPr>
        <w:t>Del Rio Prada</w:t>
      </w:r>
      <w:r>
        <w:rPr>
          <w:lang w:val="fr-FR"/>
        </w:rPr>
        <w:t>, précité, § 78</w:t>
      </w:r>
      <w:r w:rsidRPr="008A42D2">
        <w:rPr>
          <w:lang w:val="fr-FR"/>
        </w:rPr>
        <w:t>).</w:t>
      </w:r>
    </w:p>
    <w:p w:rsidR="007A41EB" w:rsidRDefault="007A41EB" w:rsidP="00C940F4">
      <w:pPr>
        <w:pStyle w:val="ECHRPara"/>
        <w:rPr>
          <w:lang w:val="fr-FR"/>
        </w:rPr>
      </w:pPr>
      <w:r>
        <w:rPr>
          <w:lang w:val="fr-FR"/>
        </w:rPr>
        <w:t>32</w:t>
      </w:r>
      <w:r w:rsidRPr="008A42D2">
        <w:rPr>
          <w:lang w:val="fr-FR"/>
        </w:rPr>
        <w:t>.  Il s</w:t>
      </w:r>
      <w:r>
        <w:rPr>
          <w:lang w:val="fr-FR"/>
        </w:rPr>
        <w:t>’</w:t>
      </w:r>
      <w:r w:rsidRPr="008A42D2">
        <w:rPr>
          <w:lang w:val="fr-FR"/>
        </w:rPr>
        <w:t>ensuit que la loi doit définir clairement les infractions et les peines qui les répriment. Cette condition se trouve remplie lorsque le justiciable peut savoir, à partir du libellé de la disposition pertinente, au besoin à l</w:t>
      </w:r>
      <w:r>
        <w:rPr>
          <w:lang w:val="fr-FR"/>
        </w:rPr>
        <w:t>’</w:t>
      </w:r>
      <w:r w:rsidRPr="008A42D2">
        <w:rPr>
          <w:lang w:val="fr-FR"/>
        </w:rPr>
        <w:t>aide de l</w:t>
      </w:r>
      <w:r>
        <w:rPr>
          <w:lang w:val="fr-FR"/>
        </w:rPr>
        <w:t>’</w:t>
      </w:r>
      <w:r w:rsidRPr="008A42D2">
        <w:rPr>
          <w:lang w:val="fr-FR"/>
        </w:rPr>
        <w:t>interprétation qui en est donnée par les tribunaux et le cas échéant après avoir recouru à des conseils éclairés, quels actes et omissions engagent sa responsabilité pénale et quelle peine il encourt de ce chef (</w:t>
      </w:r>
      <w:r w:rsidRPr="008A42D2">
        <w:rPr>
          <w:i/>
          <w:lang w:val="fr-FR"/>
        </w:rPr>
        <w:t>Cantoni c. France</w:t>
      </w:r>
      <w:r w:rsidRPr="008A42D2">
        <w:rPr>
          <w:lang w:val="fr-FR"/>
        </w:rPr>
        <w:t xml:space="preserve">, 15 novembre 1996, § 29, </w:t>
      </w:r>
      <w:r w:rsidRPr="008A42D2">
        <w:rPr>
          <w:i/>
          <w:lang w:val="fr-FR"/>
        </w:rPr>
        <w:t>Recueil des arrêts et décisions</w:t>
      </w:r>
      <w:r w:rsidRPr="008A42D2">
        <w:rPr>
          <w:lang w:val="fr-FR"/>
        </w:rPr>
        <w:t xml:space="preserve"> 1996</w:t>
      </w:r>
      <w:r>
        <w:rPr>
          <w:lang w:val="fr-FR"/>
        </w:rPr>
        <w:t>-</w:t>
      </w:r>
      <w:r w:rsidRPr="008A42D2">
        <w:rPr>
          <w:lang w:val="fr-FR"/>
        </w:rPr>
        <w:t>V, et</w:t>
      </w:r>
      <w:r>
        <w:rPr>
          <w:lang w:val="fr-FR"/>
        </w:rPr>
        <w:t xml:space="preserve"> </w:t>
      </w:r>
      <w:r>
        <w:rPr>
          <w:i/>
          <w:lang w:val="fr-FR"/>
        </w:rPr>
        <w:t>Del Rio Prada</w:t>
      </w:r>
      <w:r>
        <w:rPr>
          <w:lang w:val="fr-FR"/>
        </w:rPr>
        <w:t>, précité, § 79</w:t>
      </w:r>
      <w:r w:rsidRPr="008A42D2">
        <w:rPr>
          <w:lang w:val="fr-FR"/>
        </w:rPr>
        <w:t>).</w:t>
      </w:r>
    </w:p>
    <w:p w:rsidR="007A41EB" w:rsidRPr="009C65F1" w:rsidRDefault="007A41EB" w:rsidP="00C940F4">
      <w:pPr>
        <w:pStyle w:val="ECHRPara"/>
        <w:rPr>
          <w:lang w:val="fr-FR"/>
        </w:rPr>
      </w:pPr>
      <w:r>
        <w:rPr>
          <w:lang w:val="fr-FR"/>
        </w:rPr>
        <w:t>33</w:t>
      </w:r>
      <w:r w:rsidRPr="008A42D2">
        <w:rPr>
          <w:lang w:val="fr-FR"/>
        </w:rPr>
        <w:t>.  La tâche qui incombe à la Cour est donc, notamment, de s</w:t>
      </w:r>
      <w:r>
        <w:rPr>
          <w:lang w:val="fr-FR"/>
        </w:rPr>
        <w:t>’</w:t>
      </w:r>
      <w:r w:rsidRPr="008A42D2">
        <w:rPr>
          <w:lang w:val="fr-FR"/>
        </w:rPr>
        <w:t>assurer que, au moment où un accusé a commis l</w:t>
      </w:r>
      <w:r>
        <w:rPr>
          <w:lang w:val="fr-FR"/>
        </w:rPr>
        <w:t>’</w:t>
      </w:r>
      <w:r w:rsidRPr="008A42D2">
        <w:rPr>
          <w:lang w:val="fr-FR"/>
        </w:rPr>
        <w:t>acte qui a donné lieu aux poursuites et à la condamnation, il existait une disposition légale rendant l</w:t>
      </w:r>
      <w:r>
        <w:rPr>
          <w:lang w:val="fr-FR"/>
        </w:rPr>
        <w:t>’</w:t>
      </w:r>
      <w:r w:rsidRPr="008A42D2">
        <w:rPr>
          <w:lang w:val="fr-FR"/>
        </w:rPr>
        <w:t>acte punissable et que la peine imposée n</w:t>
      </w:r>
      <w:r>
        <w:rPr>
          <w:lang w:val="fr-FR"/>
        </w:rPr>
        <w:t>’</w:t>
      </w:r>
      <w:r w:rsidRPr="008A42D2">
        <w:rPr>
          <w:lang w:val="fr-FR"/>
        </w:rPr>
        <w:t>a pas excédé les limites fixées par cette disposition (</w:t>
      </w:r>
      <w:r w:rsidRPr="009C65F1">
        <w:rPr>
          <w:i/>
          <w:lang w:val="fr-FR"/>
        </w:rPr>
        <w:t>Scoppola c. Italie (n</w:t>
      </w:r>
      <w:r w:rsidRPr="007C0B2A">
        <w:rPr>
          <w:i/>
          <w:vertAlign w:val="superscript"/>
          <w:lang w:val="fr-FR"/>
        </w:rPr>
        <w:t>o</w:t>
      </w:r>
      <w:r w:rsidRPr="009C65F1">
        <w:rPr>
          <w:i/>
          <w:lang w:val="fr-FR"/>
        </w:rPr>
        <w:t xml:space="preserve"> 2) </w:t>
      </w:r>
      <w:r w:rsidRPr="009C65F1">
        <w:rPr>
          <w:lang w:val="fr-FR"/>
        </w:rPr>
        <w:t>[GC], n</w:t>
      </w:r>
      <w:r w:rsidRPr="007C0B2A">
        <w:rPr>
          <w:vertAlign w:val="superscript"/>
          <w:lang w:val="fr-FR"/>
        </w:rPr>
        <w:t>o</w:t>
      </w:r>
      <w:r>
        <w:rPr>
          <w:lang w:val="fr-FR"/>
        </w:rPr>
        <w:t> </w:t>
      </w:r>
      <w:r w:rsidRPr="009C65F1">
        <w:rPr>
          <w:rStyle w:val="s6b621b36"/>
          <w:lang w:val="fr-FR"/>
        </w:rPr>
        <w:t>10249/03</w:t>
      </w:r>
      <w:r w:rsidRPr="009C65F1">
        <w:rPr>
          <w:lang w:val="fr-FR"/>
        </w:rPr>
        <w:t>, § 9</w:t>
      </w:r>
      <w:r>
        <w:rPr>
          <w:lang w:val="fr-FR"/>
        </w:rPr>
        <w:t>5</w:t>
      </w:r>
      <w:r w:rsidRPr="009C65F1">
        <w:rPr>
          <w:lang w:val="fr-FR"/>
        </w:rPr>
        <w:t>, 17 septembre 2009</w:t>
      </w:r>
      <w:r>
        <w:rPr>
          <w:lang w:val="fr-FR"/>
        </w:rPr>
        <w:t xml:space="preserve">, et </w:t>
      </w:r>
      <w:r>
        <w:rPr>
          <w:i/>
          <w:lang w:val="fr-FR"/>
        </w:rPr>
        <w:t>Del Rio Prada</w:t>
      </w:r>
      <w:r>
        <w:rPr>
          <w:lang w:val="fr-FR"/>
        </w:rPr>
        <w:t>, précité, § 80</w:t>
      </w:r>
      <w:r w:rsidRPr="009C65F1">
        <w:rPr>
          <w:rStyle w:val="sb8d990e2"/>
          <w:lang w:val="fr-FR"/>
        </w:rPr>
        <w:t>).</w:t>
      </w:r>
    </w:p>
    <w:p w:rsidR="007A41EB" w:rsidRDefault="007A41EB" w:rsidP="00C940F4">
      <w:pPr>
        <w:pStyle w:val="ECHRPara"/>
        <w:rPr>
          <w:lang w:val="fr-FR"/>
        </w:rPr>
      </w:pPr>
      <w:r>
        <w:rPr>
          <w:rStyle w:val="sb8d990e2"/>
          <w:lang w:val="fr-FR"/>
        </w:rPr>
        <w:t>34</w:t>
      </w:r>
      <w:r w:rsidRPr="009C65F1">
        <w:rPr>
          <w:rStyle w:val="sb8d990e2"/>
          <w:lang w:val="fr-FR"/>
        </w:rPr>
        <w:t>.  </w:t>
      </w:r>
      <w:r>
        <w:rPr>
          <w:rStyle w:val="sb8d990e2"/>
          <w:lang w:val="fr-FR"/>
        </w:rPr>
        <w:t>En outre, la Cour rappelle que l</w:t>
      </w:r>
      <w:r w:rsidRPr="008A42D2">
        <w:rPr>
          <w:lang w:val="fr-FR"/>
        </w:rPr>
        <w:t>a notion de « droit » (« </w:t>
      </w:r>
      <w:r w:rsidRPr="008A42D2">
        <w:rPr>
          <w:i/>
          <w:iCs/>
          <w:lang w:val="fr-FR"/>
        </w:rPr>
        <w:t>law</w:t>
      </w:r>
      <w:r w:rsidRPr="008A42D2">
        <w:rPr>
          <w:lang w:val="fr-FR"/>
        </w:rPr>
        <w:t> ») utilisée à l</w:t>
      </w:r>
      <w:r>
        <w:rPr>
          <w:lang w:val="fr-FR"/>
        </w:rPr>
        <w:t>’</w:t>
      </w:r>
      <w:r w:rsidRPr="008A42D2">
        <w:rPr>
          <w:lang w:val="fr-FR"/>
        </w:rPr>
        <w:t>article 7 correspond à celle de « loi » qui figure dans d</w:t>
      </w:r>
      <w:r>
        <w:rPr>
          <w:lang w:val="fr-FR"/>
        </w:rPr>
        <w:t>’</w:t>
      </w:r>
      <w:r w:rsidRPr="008A42D2">
        <w:rPr>
          <w:lang w:val="fr-FR"/>
        </w:rPr>
        <w:t>autres articles de la Convention</w:t>
      </w:r>
      <w:r>
        <w:rPr>
          <w:lang w:val="fr-FR"/>
        </w:rPr>
        <w:t> </w:t>
      </w:r>
      <w:r w:rsidRPr="008A42D2">
        <w:rPr>
          <w:lang w:val="fr-FR"/>
        </w:rPr>
        <w:t>; elle englobe le droit d</w:t>
      </w:r>
      <w:r>
        <w:rPr>
          <w:lang w:val="fr-FR"/>
        </w:rPr>
        <w:t>’</w:t>
      </w:r>
      <w:r w:rsidRPr="008A42D2">
        <w:rPr>
          <w:lang w:val="fr-FR"/>
        </w:rPr>
        <w:t>origine tant législative que jurisprudentielle et implique des conditions qualitatives, entre autres celles d</w:t>
      </w:r>
      <w:r>
        <w:rPr>
          <w:lang w:val="fr-FR"/>
        </w:rPr>
        <w:t>’</w:t>
      </w:r>
      <w:r w:rsidRPr="008A42D2">
        <w:rPr>
          <w:lang w:val="fr-FR"/>
        </w:rPr>
        <w:t xml:space="preserve">accessibilité et de prévisibilité </w:t>
      </w:r>
      <w:r>
        <w:rPr>
          <w:lang w:val="fr-FR"/>
        </w:rPr>
        <w:t>(</w:t>
      </w:r>
      <w:r w:rsidRPr="008A42D2">
        <w:rPr>
          <w:rFonts w:ascii="Times New (W1)" w:hAnsi="Times New (W1)"/>
          <w:i/>
          <w:szCs w:val="24"/>
          <w:lang w:val="fr-FR"/>
        </w:rPr>
        <w:t>E.K. c. Turquie</w:t>
      </w:r>
      <w:r w:rsidRPr="008A42D2">
        <w:rPr>
          <w:rFonts w:ascii="Times New (W1)" w:hAnsi="Times New (W1)"/>
          <w:szCs w:val="24"/>
          <w:lang w:val="fr-FR"/>
        </w:rPr>
        <w:t>, n</w:t>
      </w:r>
      <w:r w:rsidRPr="008A42D2">
        <w:rPr>
          <w:rFonts w:ascii="Times New (W1)" w:hAnsi="Times New (W1)"/>
          <w:szCs w:val="24"/>
          <w:vertAlign w:val="superscript"/>
          <w:lang w:val="fr-FR"/>
        </w:rPr>
        <w:t>o</w:t>
      </w:r>
      <w:r w:rsidRPr="008A42D2">
        <w:rPr>
          <w:rFonts w:ascii="Times New (W1)" w:hAnsi="Times New (W1)"/>
          <w:szCs w:val="24"/>
          <w:lang w:val="fr-FR"/>
        </w:rPr>
        <w:t xml:space="preserve"> 28496/95, § 51, 7</w:t>
      </w:r>
      <w:r>
        <w:rPr>
          <w:rFonts w:ascii="Times New (W1)" w:hAnsi="Times New (W1)"/>
          <w:szCs w:val="24"/>
          <w:lang w:val="fr-FR"/>
        </w:rPr>
        <w:t> </w:t>
      </w:r>
      <w:r w:rsidRPr="008A42D2">
        <w:rPr>
          <w:rFonts w:ascii="Times New (W1)" w:hAnsi="Times New (W1)"/>
          <w:szCs w:val="24"/>
          <w:lang w:val="fr-FR"/>
        </w:rPr>
        <w:t>février 2002</w:t>
      </w:r>
      <w:r w:rsidRPr="008A42D2">
        <w:rPr>
          <w:lang w:val="fr-FR"/>
        </w:rPr>
        <w:t>). Ces conditions qualitatives doivent être remplies tant pour la définition d</w:t>
      </w:r>
      <w:r>
        <w:rPr>
          <w:lang w:val="fr-FR"/>
        </w:rPr>
        <w:t>’</w:t>
      </w:r>
      <w:r w:rsidRPr="008A42D2">
        <w:rPr>
          <w:lang w:val="fr-FR"/>
        </w:rPr>
        <w:t>une infraction que pour la peine que celle-ci implique</w:t>
      </w:r>
      <w:r>
        <w:rPr>
          <w:lang w:val="fr-FR"/>
        </w:rPr>
        <w:t xml:space="preserve"> (</w:t>
      </w:r>
      <w:r>
        <w:rPr>
          <w:i/>
          <w:lang w:val="fr-FR"/>
        </w:rPr>
        <w:t>Del Rio Prada</w:t>
      </w:r>
      <w:r>
        <w:rPr>
          <w:lang w:val="fr-FR"/>
        </w:rPr>
        <w:t>, précité, § 91)</w:t>
      </w:r>
      <w:r w:rsidRPr="008A42D2">
        <w:rPr>
          <w:lang w:val="fr-FR"/>
        </w:rPr>
        <w:t>.</w:t>
      </w:r>
    </w:p>
    <w:p w:rsidR="007A41EB" w:rsidRPr="009C65F1" w:rsidRDefault="007A41EB" w:rsidP="00C940F4">
      <w:pPr>
        <w:pStyle w:val="ECHRPara"/>
        <w:rPr>
          <w:lang w:val="fr-FR"/>
        </w:rPr>
      </w:pPr>
      <w:r>
        <w:rPr>
          <w:lang w:val="fr-FR"/>
        </w:rPr>
        <w:t>35.  </w:t>
      </w:r>
      <w:r w:rsidRPr="008A42D2">
        <w:rPr>
          <w:lang w:val="fr-FR"/>
        </w:rPr>
        <w:t>En raison même du caractère général des lois, le libellé de celles-ci ne peut pas présenter une précision absolue. L</w:t>
      </w:r>
      <w:r>
        <w:rPr>
          <w:lang w:val="fr-FR"/>
        </w:rPr>
        <w:t>’</w:t>
      </w:r>
      <w:r w:rsidRPr="008A42D2">
        <w:rPr>
          <w:lang w:val="fr-FR"/>
        </w:rPr>
        <w:t>une des techniques-types de réglementation consiste à recourir à des catégories générales plutôt qu</w:t>
      </w:r>
      <w:r>
        <w:rPr>
          <w:lang w:val="fr-FR"/>
        </w:rPr>
        <w:t>’</w:t>
      </w:r>
      <w:r w:rsidRPr="008A42D2">
        <w:rPr>
          <w:lang w:val="fr-FR"/>
        </w:rPr>
        <w:t>à des listes exhaustives. Aussi beaucoup de lois se servent-elles, par la force des choses, de formules plus ou moins vagues dont l</w:t>
      </w:r>
      <w:r>
        <w:rPr>
          <w:lang w:val="fr-FR"/>
        </w:rPr>
        <w:t>’</w:t>
      </w:r>
      <w:r w:rsidRPr="008A42D2">
        <w:rPr>
          <w:lang w:val="fr-FR"/>
        </w:rPr>
        <w:t>interprétation et l</w:t>
      </w:r>
      <w:r>
        <w:rPr>
          <w:lang w:val="fr-FR"/>
        </w:rPr>
        <w:t>’</w:t>
      </w:r>
      <w:r w:rsidRPr="008A42D2">
        <w:rPr>
          <w:lang w:val="fr-FR"/>
        </w:rPr>
        <w:t>application dépendent de la pratique (</w:t>
      </w:r>
      <w:r w:rsidRPr="008A42D2">
        <w:rPr>
          <w:i/>
          <w:lang w:val="fr-FR"/>
        </w:rPr>
        <w:t>Kokkinakis</w:t>
      </w:r>
      <w:r w:rsidRPr="008A42D2">
        <w:rPr>
          <w:lang w:val="fr-FR"/>
        </w:rPr>
        <w:t xml:space="preserve">, précité, § 40, et </w:t>
      </w:r>
      <w:r w:rsidRPr="008A42D2">
        <w:rPr>
          <w:i/>
          <w:lang w:val="fr-FR"/>
        </w:rPr>
        <w:t>Cantoni</w:t>
      </w:r>
      <w:r w:rsidRPr="008A42D2">
        <w:rPr>
          <w:lang w:val="fr-FR"/>
        </w:rPr>
        <w:t>, précité, § 31). Dès lors, dans quelque système juridique que ce soit, aussi clair que le libellé d</w:t>
      </w:r>
      <w:r>
        <w:rPr>
          <w:lang w:val="fr-FR"/>
        </w:rPr>
        <w:t>’</w:t>
      </w:r>
      <w:r w:rsidRPr="008A42D2">
        <w:rPr>
          <w:lang w:val="fr-FR"/>
        </w:rPr>
        <w:t>une disposition légale puisse être, y compris une disposition de droit pénal, il existe inévitablement un élément d</w:t>
      </w:r>
      <w:r>
        <w:rPr>
          <w:lang w:val="fr-FR"/>
        </w:rPr>
        <w:t>’</w:t>
      </w:r>
      <w:r w:rsidRPr="008A42D2">
        <w:rPr>
          <w:lang w:val="fr-FR"/>
        </w:rPr>
        <w:t>interprétation judiciaire. Il faudra toujours élucider les points douteux et s</w:t>
      </w:r>
      <w:r>
        <w:rPr>
          <w:lang w:val="fr-FR"/>
        </w:rPr>
        <w:t>’</w:t>
      </w:r>
      <w:r w:rsidRPr="008A42D2">
        <w:rPr>
          <w:lang w:val="fr-FR"/>
        </w:rPr>
        <w:t>adapter aux changements de situation. En outre, la certitude, bien que hautement souhaitable, s</w:t>
      </w:r>
      <w:r>
        <w:rPr>
          <w:lang w:val="fr-FR"/>
        </w:rPr>
        <w:t>’</w:t>
      </w:r>
      <w:r w:rsidRPr="008A42D2">
        <w:rPr>
          <w:lang w:val="fr-FR"/>
        </w:rPr>
        <w:t>accompagne parfois d</w:t>
      </w:r>
      <w:r>
        <w:rPr>
          <w:lang w:val="fr-FR"/>
        </w:rPr>
        <w:t>’</w:t>
      </w:r>
      <w:r w:rsidRPr="008A42D2">
        <w:rPr>
          <w:lang w:val="fr-FR"/>
        </w:rPr>
        <w:t>une rigidité excessive ; or, le droit doit savoir s</w:t>
      </w:r>
      <w:r>
        <w:rPr>
          <w:lang w:val="fr-FR"/>
        </w:rPr>
        <w:t>’</w:t>
      </w:r>
      <w:r w:rsidRPr="008A42D2">
        <w:rPr>
          <w:lang w:val="fr-FR"/>
        </w:rPr>
        <w:t xml:space="preserve">adapter aux changements de situation </w:t>
      </w:r>
      <w:r w:rsidRPr="009C65F1">
        <w:rPr>
          <w:rStyle w:val="sb8d990e2"/>
          <w:lang w:val="fr-FR"/>
        </w:rPr>
        <w:t>(</w:t>
      </w:r>
      <w:r w:rsidRPr="009C65F1">
        <w:rPr>
          <w:rStyle w:val="s6b621b36"/>
          <w:i/>
          <w:lang w:val="fr-FR"/>
        </w:rPr>
        <w:t>Scoppola (n</w:t>
      </w:r>
      <w:r w:rsidRPr="007C0B2A">
        <w:rPr>
          <w:rStyle w:val="s6b621b36"/>
          <w:i/>
          <w:vertAlign w:val="superscript"/>
          <w:lang w:val="fr-FR"/>
        </w:rPr>
        <w:t>o</w:t>
      </w:r>
      <w:r w:rsidRPr="009C65F1">
        <w:rPr>
          <w:rStyle w:val="s6b621b36"/>
          <w:i/>
          <w:lang w:val="fr-FR"/>
        </w:rPr>
        <w:t> 2)</w:t>
      </w:r>
      <w:r w:rsidRPr="009C65F1">
        <w:rPr>
          <w:rStyle w:val="sb8d990e2"/>
          <w:lang w:val="fr-FR"/>
        </w:rPr>
        <w:t>, précité, § 100</w:t>
      </w:r>
      <w:r>
        <w:rPr>
          <w:rStyle w:val="sb8d990e2"/>
          <w:lang w:val="fr-FR"/>
        </w:rPr>
        <w:t xml:space="preserve">, et </w:t>
      </w:r>
      <w:r>
        <w:rPr>
          <w:i/>
          <w:lang w:val="fr-FR"/>
        </w:rPr>
        <w:t>Del Rio Prada</w:t>
      </w:r>
      <w:r>
        <w:rPr>
          <w:lang w:val="fr-FR"/>
        </w:rPr>
        <w:t>, précité, § 92</w:t>
      </w:r>
      <w:r w:rsidRPr="009C65F1">
        <w:rPr>
          <w:rStyle w:val="sb8d990e2"/>
          <w:lang w:val="fr-FR"/>
        </w:rPr>
        <w:t>).</w:t>
      </w:r>
    </w:p>
    <w:p w:rsidR="007A41EB" w:rsidRDefault="007A41EB" w:rsidP="00C940F4">
      <w:pPr>
        <w:pStyle w:val="ECHRPara"/>
        <w:rPr>
          <w:rStyle w:val="sb8d990e2"/>
          <w:lang w:val="fr-FR"/>
        </w:rPr>
      </w:pPr>
      <w:r>
        <w:rPr>
          <w:rStyle w:val="sb8d990e2"/>
          <w:lang w:val="fr-FR"/>
        </w:rPr>
        <w:t>36.  Enfin, la Cour rappelle que l</w:t>
      </w:r>
      <w:r w:rsidRPr="009C65F1">
        <w:rPr>
          <w:rStyle w:val="sb8d990e2"/>
          <w:lang w:val="fr-FR"/>
        </w:rPr>
        <w:t>a portée de la notion de prévisibilité dépend dans une large mesure du contenu du texte dont il s</w:t>
      </w:r>
      <w:r>
        <w:rPr>
          <w:rStyle w:val="sb8d990e2"/>
          <w:lang w:val="fr-FR"/>
        </w:rPr>
        <w:t>’</w:t>
      </w:r>
      <w:r w:rsidRPr="009C65F1">
        <w:rPr>
          <w:rStyle w:val="sb8d990e2"/>
          <w:lang w:val="fr-FR"/>
        </w:rPr>
        <w:t>agit, du domaine qu</w:t>
      </w:r>
      <w:r>
        <w:rPr>
          <w:rStyle w:val="sb8d990e2"/>
          <w:lang w:val="fr-FR"/>
        </w:rPr>
        <w:t>’</w:t>
      </w:r>
      <w:r w:rsidRPr="009C65F1">
        <w:rPr>
          <w:rStyle w:val="sb8d990e2"/>
          <w:lang w:val="fr-FR"/>
        </w:rPr>
        <w:t>il couvre</w:t>
      </w:r>
      <w:r>
        <w:rPr>
          <w:rStyle w:val="sb8d990e2"/>
          <w:lang w:val="fr-FR"/>
        </w:rPr>
        <w:t>,</w:t>
      </w:r>
      <w:r w:rsidRPr="009C65F1">
        <w:rPr>
          <w:rStyle w:val="sb8d990e2"/>
          <w:lang w:val="fr-FR"/>
        </w:rPr>
        <w:t xml:space="preserve"> ainsi que du nombre et de la qualité de ses destinataires. La prévisibilité d</w:t>
      </w:r>
      <w:r>
        <w:rPr>
          <w:rStyle w:val="sb8d990e2"/>
          <w:lang w:val="fr-FR"/>
        </w:rPr>
        <w:t>’</w:t>
      </w:r>
      <w:r w:rsidRPr="009C65F1">
        <w:rPr>
          <w:rStyle w:val="sb8d990e2"/>
          <w:lang w:val="fr-FR"/>
        </w:rPr>
        <w:t>une loi ne s</w:t>
      </w:r>
      <w:r>
        <w:rPr>
          <w:rStyle w:val="sb8d990e2"/>
          <w:lang w:val="fr-FR"/>
        </w:rPr>
        <w:t>’</w:t>
      </w:r>
      <w:r w:rsidRPr="009C65F1">
        <w:rPr>
          <w:rStyle w:val="sb8d990e2"/>
          <w:lang w:val="fr-FR"/>
        </w:rPr>
        <w:t>oppose pas à ce que la personne concernée soit amenée à recourir à des conseils éclairés pour évaluer, à un degré raisonnable dans les circonstances de la cause, les conséquences pouvant résulter d</w:t>
      </w:r>
      <w:r>
        <w:rPr>
          <w:rStyle w:val="sb8d990e2"/>
          <w:lang w:val="fr-FR"/>
        </w:rPr>
        <w:t>’</w:t>
      </w:r>
      <w:r w:rsidRPr="009C65F1">
        <w:rPr>
          <w:rStyle w:val="sb8d990e2"/>
          <w:lang w:val="fr-FR"/>
        </w:rPr>
        <w:t>un acte déterminé (</w:t>
      </w:r>
      <w:r w:rsidRPr="009C65F1">
        <w:rPr>
          <w:rStyle w:val="s6b621b36"/>
          <w:i/>
          <w:lang w:val="fr-FR"/>
        </w:rPr>
        <w:t>Scoppola (n</w:t>
      </w:r>
      <w:r w:rsidRPr="007C0B2A">
        <w:rPr>
          <w:rStyle w:val="s6b621b36"/>
          <w:i/>
          <w:vertAlign w:val="superscript"/>
          <w:lang w:val="fr-FR"/>
        </w:rPr>
        <w:t>o</w:t>
      </w:r>
      <w:r w:rsidRPr="009C65F1">
        <w:rPr>
          <w:rStyle w:val="s6b621b36"/>
          <w:i/>
          <w:lang w:val="fr-FR"/>
        </w:rPr>
        <w:t xml:space="preserve"> 2)</w:t>
      </w:r>
      <w:r w:rsidRPr="009C65F1">
        <w:rPr>
          <w:rStyle w:val="sb8d990e2"/>
          <w:lang w:val="fr-FR"/>
        </w:rPr>
        <w:t>, précité, § 102). Il en va spécialement ainsi des professionnels, habitués à devoir faire preuve d</w:t>
      </w:r>
      <w:r>
        <w:rPr>
          <w:rStyle w:val="sb8d990e2"/>
          <w:lang w:val="fr-FR"/>
        </w:rPr>
        <w:t>’</w:t>
      </w:r>
      <w:r w:rsidRPr="009C65F1">
        <w:rPr>
          <w:rStyle w:val="sb8d990e2"/>
          <w:lang w:val="fr-FR"/>
        </w:rPr>
        <w:t>une grande prudence dans l</w:t>
      </w:r>
      <w:r>
        <w:rPr>
          <w:rStyle w:val="sb8d990e2"/>
          <w:lang w:val="fr-FR"/>
        </w:rPr>
        <w:t>’</w:t>
      </w:r>
      <w:r w:rsidRPr="009C65F1">
        <w:rPr>
          <w:rStyle w:val="sb8d990e2"/>
          <w:lang w:val="fr-FR"/>
        </w:rPr>
        <w:t>exercice de leur métier. Aussi peut-on attendre d</w:t>
      </w:r>
      <w:r>
        <w:rPr>
          <w:rStyle w:val="sb8d990e2"/>
          <w:lang w:val="fr-FR"/>
        </w:rPr>
        <w:t>’</w:t>
      </w:r>
      <w:r w:rsidRPr="009C65F1">
        <w:rPr>
          <w:rStyle w:val="sb8d990e2"/>
          <w:lang w:val="fr-FR"/>
        </w:rPr>
        <w:t>eux qu</w:t>
      </w:r>
      <w:r>
        <w:rPr>
          <w:rStyle w:val="sb8d990e2"/>
          <w:lang w:val="fr-FR"/>
        </w:rPr>
        <w:t>’</w:t>
      </w:r>
      <w:r w:rsidRPr="009C65F1">
        <w:rPr>
          <w:rStyle w:val="sb8d990e2"/>
          <w:lang w:val="fr-FR"/>
        </w:rPr>
        <w:t>ils mettent un soin particulier à évaluer les risques qu</w:t>
      </w:r>
      <w:r>
        <w:rPr>
          <w:rStyle w:val="sb8d990e2"/>
          <w:lang w:val="fr-FR"/>
        </w:rPr>
        <w:t>’</w:t>
      </w:r>
      <w:r w:rsidRPr="009C65F1">
        <w:rPr>
          <w:rStyle w:val="sb8d990e2"/>
          <w:lang w:val="fr-FR"/>
        </w:rPr>
        <w:t>il comporte (</w:t>
      </w:r>
      <w:r w:rsidRPr="009C65F1">
        <w:rPr>
          <w:rStyle w:val="s6b621b36"/>
          <w:i/>
          <w:lang w:val="fr-FR"/>
        </w:rPr>
        <w:t>Pessino c. France</w:t>
      </w:r>
      <w:r w:rsidRPr="009C65F1">
        <w:rPr>
          <w:rStyle w:val="sb8d990e2"/>
          <w:lang w:val="fr-FR"/>
        </w:rPr>
        <w:t>, n</w:t>
      </w:r>
      <w:r w:rsidRPr="007C0B2A">
        <w:rPr>
          <w:rStyle w:val="sb8d990e2"/>
          <w:vertAlign w:val="superscript"/>
          <w:lang w:val="fr-FR"/>
        </w:rPr>
        <w:t>o</w:t>
      </w:r>
      <w:r w:rsidRPr="009C65F1">
        <w:rPr>
          <w:rStyle w:val="sb8d990e2"/>
          <w:lang w:val="fr-FR"/>
        </w:rPr>
        <w:t> 40403/02, § 33, 10 octobre 2006</w:t>
      </w:r>
      <w:r>
        <w:rPr>
          <w:rStyle w:val="sb8d990e2"/>
          <w:lang w:val="fr-FR"/>
        </w:rPr>
        <w:t> ;</w:t>
      </w:r>
      <w:r w:rsidRPr="009C65F1">
        <w:rPr>
          <w:rStyle w:val="sb8d990e2"/>
          <w:lang w:val="fr-FR"/>
        </w:rPr>
        <w:t xml:space="preserve"> </w:t>
      </w:r>
      <w:r w:rsidRPr="009C65F1">
        <w:rPr>
          <w:rStyle w:val="sb8d990e2"/>
          <w:i/>
          <w:lang w:val="fr-FR"/>
        </w:rPr>
        <w:t xml:space="preserve">Sud Fondi </w:t>
      </w:r>
      <w:r w:rsidRPr="009C65F1">
        <w:rPr>
          <w:i/>
          <w:lang w:val="fr-FR"/>
        </w:rPr>
        <w:t xml:space="preserve">S.r.l. </w:t>
      </w:r>
      <w:r w:rsidRPr="009C65F1">
        <w:rPr>
          <w:rStyle w:val="sb8d990e2"/>
          <w:i/>
          <w:lang w:val="fr-FR"/>
        </w:rPr>
        <w:t>et autres</w:t>
      </w:r>
      <w:r w:rsidRPr="009C65F1">
        <w:rPr>
          <w:rStyle w:val="sb8d990e2"/>
          <w:lang w:val="fr-FR"/>
        </w:rPr>
        <w:t>, précité, § 109</w:t>
      </w:r>
      <w:r>
        <w:rPr>
          <w:rStyle w:val="sb8d990e2"/>
          <w:lang w:val="fr-FR"/>
        </w:rPr>
        <w:t xml:space="preserve"> ; et </w:t>
      </w:r>
      <w:r>
        <w:rPr>
          <w:rStyle w:val="sb8d990e2"/>
          <w:i/>
          <w:lang w:val="fr-FR"/>
        </w:rPr>
        <w:t>Soros c. France</w:t>
      </w:r>
      <w:r>
        <w:rPr>
          <w:rStyle w:val="sb8d990e2"/>
          <w:lang w:val="fr-FR"/>
        </w:rPr>
        <w:t>, n</w:t>
      </w:r>
      <w:r w:rsidRPr="007C0B2A">
        <w:rPr>
          <w:rStyle w:val="sb8d990e2"/>
          <w:vertAlign w:val="superscript"/>
          <w:lang w:val="fr-FR"/>
        </w:rPr>
        <w:t>o</w:t>
      </w:r>
      <w:r>
        <w:rPr>
          <w:rStyle w:val="sb8d990e2"/>
          <w:lang w:val="fr-FR"/>
        </w:rPr>
        <w:t xml:space="preserve"> 50425/06, § 53, 6 octobre 2011</w:t>
      </w:r>
      <w:r w:rsidRPr="009C65F1">
        <w:rPr>
          <w:rStyle w:val="sb8d990e2"/>
          <w:lang w:val="fr-FR"/>
        </w:rPr>
        <w:t>).</w:t>
      </w:r>
    </w:p>
    <w:p w:rsidR="007A41EB" w:rsidRDefault="007A41EB" w:rsidP="00C940F4">
      <w:pPr>
        <w:pStyle w:val="ECHRPara"/>
        <w:rPr>
          <w:rStyle w:val="sb8d990e2"/>
          <w:lang w:val="fr-FR"/>
        </w:rPr>
      </w:pPr>
      <w:r>
        <w:rPr>
          <w:rStyle w:val="sb8d990e2"/>
          <w:lang w:val="fr-FR"/>
        </w:rPr>
        <w:t xml:space="preserve">37.  En l’espèce, la Cour note que le requérant a été accusé de banqueroute frauduleuse, infraction prévue par les articles 216 § 1 et 223 de la loi sur la faillite. Aux termes de ces dispositions combinées, les administrateurs des sociétés déclarées en état de faillite encourent une peine d’emprisonnement s’ils ont soustrait les biens des sociétés ou tenu les écritures comptables de manière à rendre impossible la reconstitution du patrimoine ou du mouvement des affaires desdites sociétés, et ce dans le but de porter préjudice aux créanciers ou de se procurer un profit (paragraphe </w:t>
      </w:r>
      <w:r>
        <w:rPr>
          <w:lang w:val="fr-FR"/>
        </w:rPr>
        <w:t>6</w:t>
      </w:r>
      <w:r>
        <w:rPr>
          <w:rStyle w:val="sb8d990e2"/>
          <w:lang w:val="fr-FR"/>
        </w:rPr>
        <w:t xml:space="preserve"> ci-dessus). Aux yeux de la Cour, les dispositions en question constituaient une base juridique accessible et prévisible, au sens de sa jurisprudence en la matière,</w:t>
      </w:r>
      <w:r w:rsidRPr="00702DD2">
        <w:rPr>
          <w:lang w:val="fr-FR"/>
        </w:rPr>
        <w:t xml:space="preserve"> pour la condamnation du requérant</w:t>
      </w:r>
      <w:r>
        <w:rPr>
          <w:rStyle w:val="sb8d990e2"/>
          <w:lang w:val="fr-FR"/>
        </w:rPr>
        <w:t xml:space="preserve">. Elle note à cet égard que le chef d’accusation décrivait en détail les actes, rentrant dans le champ d’application des articles 216 et 223 de la loi sur la faillite, prétendument commis par le requérant (paragraphe </w:t>
      </w:r>
      <w:r>
        <w:rPr>
          <w:lang w:val="fr-FR"/>
        </w:rPr>
        <w:t>7</w:t>
      </w:r>
      <w:r>
        <w:rPr>
          <w:rStyle w:val="sb8d990e2"/>
          <w:lang w:val="fr-FR"/>
        </w:rPr>
        <w:t xml:space="preserve"> ci-dessus) et que les juridictions nationales ont prononcé la condamnation de ce dernier en estimant prouvés les faits énoncés dans le chef d’accusation.</w:t>
      </w:r>
    </w:p>
    <w:p w:rsidR="007A41EB" w:rsidRDefault="007A41EB" w:rsidP="00C940F4">
      <w:pPr>
        <w:pStyle w:val="ECHRPara"/>
        <w:rPr>
          <w:rStyle w:val="sb8d990e2"/>
          <w:lang w:val="fr-FR"/>
        </w:rPr>
      </w:pPr>
      <w:r>
        <w:rPr>
          <w:rStyle w:val="sb8d990e2"/>
          <w:lang w:val="fr-FR"/>
        </w:rPr>
        <w:t>38.  Quant à l’argument du requérant selon lequel les tribunaux internes auraient dû vérifier si les pertes d’une des sociétés avaient été compensées par les avantages découlant de l’appartenance de cette société à un groupe, la Cour observe que cette thèse se fonde sur le libellé de l’article 2634 § 3 du CC, c’est-à-dire d’une disposition autre que celles sur la base desquelles le requérant a été condamné. Il est vrai que l’article 2634 du CC est mentionné à l’article 223 § 2 1</w:t>
      </w:r>
      <w:r w:rsidRPr="00E318ED">
        <w:rPr>
          <w:lang w:val="fr-FR"/>
        </w:rPr>
        <w:t>)</w:t>
      </w:r>
      <w:r>
        <w:rPr>
          <w:rStyle w:val="sb8d990e2"/>
          <w:lang w:val="fr-FR"/>
        </w:rPr>
        <w:t xml:space="preserve"> de la loi sur la faillite (paragraphe </w:t>
      </w:r>
      <w:r>
        <w:rPr>
          <w:lang w:val="fr-FR"/>
        </w:rPr>
        <w:t>6</w:t>
      </w:r>
      <w:r>
        <w:rPr>
          <w:rStyle w:val="sb8d990e2"/>
          <w:lang w:val="fr-FR"/>
        </w:rPr>
        <w:t xml:space="preserve"> ci-dessus) ; cependant, cette dernière disposition se limite à préciser que les administrateurs peuvent être punis s’ils ont provoqué ou concouru à provoquer l’état de détresse de la société en commettant l’un des faits décrits dans certains articles du CC, parmi lesquels l’article 2634. En tout état de cause, faisant usage de son droit d’établir les faits, la cour d’appel de Gênes a exclu l’existence d’un « groupe » de sociétés (paragraphe </w:t>
      </w:r>
      <w:r>
        <w:rPr>
          <w:lang w:val="fr-FR"/>
        </w:rPr>
        <w:t>20</w:t>
      </w:r>
      <w:r>
        <w:rPr>
          <w:rStyle w:val="sb8d990e2"/>
          <w:lang w:val="fr-FR"/>
        </w:rPr>
        <w:t xml:space="preserve"> ci-dessus), et donc celle de l’élément factuel sur lequel la thèse de l’applicabilité par analogie de l’article 2634 § 3 du CC était fondée. La Cour de cassation a en outre précisé que la règle de la compensation des avantages et préjudices au sein d’un groupe ne trouvait pas application dans le cadre des dispositions pénales de la loi sur la faillite (paragraphe </w:t>
      </w:r>
      <w:r>
        <w:rPr>
          <w:lang w:val="fr-FR"/>
        </w:rPr>
        <w:t>24</w:t>
      </w:r>
      <w:r>
        <w:rPr>
          <w:rStyle w:val="sb8d990e2"/>
          <w:lang w:val="fr-FR"/>
        </w:rPr>
        <w:t xml:space="preserve"> ci-dessus).</w:t>
      </w:r>
    </w:p>
    <w:p w:rsidR="007A41EB" w:rsidRDefault="007A41EB" w:rsidP="00C940F4">
      <w:pPr>
        <w:pStyle w:val="ECHRPara"/>
        <w:rPr>
          <w:rStyle w:val="sb8d990e2"/>
          <w:lang w:val="fr-FR"/>
        </w:rPr>
      </w:pPr>
      <w:r>
        <w:rPr>
          <w:rStyle w:val="sb8d990e2"/>
          <w:lang w:val="fr-FR"/>
        </w:rPr>
        <w:t>39.  Dans ces circonstances, la Cour est d’avis que le requérant a</w:t>
      </w:r>
      <w:r w:rsidRPr="0091033D">
        <w:rPr>
          <w:lang w:val="fr-FR"/>
        </w:rPr>
        <w:t xml:space="preserve"> </w:t>
      </w:r>
      <w:r>
        <w:rPr>
          <w:lang w:val="fr-FR"/>
        </w:rPr>
        <w:t xml:space="preserve">été condamné </w:t>
      </w:r>
      <w:r w:rsidRPr="00693F69">
        <w:rPr>
          <w:lang w:val="fr-FR"/>
        </w:rPr>
        <w:t xml:space="preserve">pour </w:t>
      </w:r>
      <w:r>
        <w:rPr>
          <w:lang w:val="fr-FR"/>
        </w:rPr>
        <w:t>des</w:t>
      </w:r>
      <w:r w:rsidRPr="00693F69">
        <w:rPr>
          <w:lang w:val="fr-FR"/>
        </w:rPr>
        <w:t xml:space="preserve"> action</w:t>
      </w:r>
      <w:r>
        <w:rPr>
          <w:lang w:val="fr-FR"/>
        </w:rPr>
        <w:t>s</w:t>
      </w:r>
      <w:r w:rsidRPr="00693F69">
        <w:rPr>
          <w:lang w:val="fr-FR"/>
        </w:rPr>
        <w:t xml:space="preserve"> ou omission</w:t>
      </w:r>
      <w:r>
        <w:rPr>
          <w:lang w:val="fr-FR"/>
        </w:rPr>
        <w:t>s</w:t>
      </w:r>
      <w:r w:rsidRPr="00693F69">
        <w:rPr>
          <w:lang w:val="fr-FR"/>
        </w:rPr>
        <w:t xml:space="preserve"> qui, au moment où elle</w:t>
      </w:r>
      <w:r>
        <w:rPr>
          <w:lang w:val="fr-FR"/>
        </w:rPr>
        <w:t>s</w:t>
      </w:r>
      <w:r w:rsidRPr="00693F69">
        <w:rPr>
          <w:lang w:val="fr-FR"/>
        </w:rPr>
        <w:t xml:space="preserve"> </w:t>
      </w:r>
      <w:r>
        <w:rPr>
          <w:lang w:val="fr-FR"/>
        </w:rPr>
        <w:t>ont</w:t>
      </w:r>
      <w:r w:rsidRPr="00693F69">
        <w:rPr>
          <w:lang w:val="fr-FR"/>
        </w:rPr>
        <w:t xml:space="preserve"> été commise</w:t>
      </w:r>
      <w:r>
        <w:rPr>
          <w:lang w:val="fr-FR"/>
        </w:rPr>
        <w:t>s</w:t>
      </w:r>
      <w:r w:rsidRPr="00693F69">
        <w:rPr>
          <w:lang w:val="fr-FR"/>
        </w:rPr>
        <w:t xml:space="preserve">, </w:t>
      </w:r>
      <w:r>
        <w:rPr>
          <w:lang w:val="fr-FR"/>
        </w:rPr>
        <w:t>étaient constitutives d’</w:t>
      </w:r>
      <w:r w:rsidRPr="00693F69">
        <w:rPr>
          <w:lang w:val="fr-FR"/>
        </w:rPr>
        <w:t>une infraction d</w:t>
      </w:r>
      <w:r>
        <w:rPr>
          <w:lang w:val="fr-FR"/>
        </w:rPr>
        <w:t>’</w:t>
      </w:r>
      <w:r w:rsidRPr="00693F69">
        <w:rPr>
          <w:lang w:val="fr-FR"/>
        </w:rPr>
        <w:t xml:space="preserve">après le droit national </w:t>
      </w:r>
      <w:r>
        <w:rPr>
          <w:lang w:val="fr-FR"/>
        </w:rPr>
        <w:t xml:space="preserve">et qu’aucune apparence de violation </w:t>
      </w:r>
      <w:r w:rsidRPr="00CD4E5E">
        <w:rPr>
          <w:lang w:val="fr-FR"/>
        </w:rPr>
        <w:t>de l</w:t>
      </w:r>
      <w:r>
        <w:rPr>
          <w:lang w:val="fr-FR"/>
        </w:rPr>
        <w:t>’</w:t>
      </w:r>
      <w:r w:rsidRPr="00CD4E5E">
        <w:rPr>
          <w:lang w:val="fr-FR"/>
        </w:rPr>
        <w:t>article 7</w:t>
      </w:r>
      <w:r>
        <w:rPr>
          <w:lang w:val="fr-FR"/>
        </w:rPr>
        <w:t xml:space="preserve"> </w:t>
      </w:r>
      <w:r w:rsidRPr="00CD4E5E">
        <w:rPr>
          <w:lang w:val="fr-FR"/>
        </w:rPr>
        <w:t>§ 1 de</w:t>
      </w:r>
      <w:r>
        <w:rPr>
          <w:lang w:val="fr-FR"/>
        </w:rPr>
        <w:t xml:space="preserve"> la Convention ne saurait être décelée en l’espèce.</w:t>
      </w:r>
    </w:p>
    <w:p w:rsidR="007A41EB" w:rsidRPr="007027F4" w:rsidRDefault="007A41EB" w:rsidP="00C940F4">
      <w:pPr>
        <w:pStyle w:val="ECHRPara"/>
        <w:rPr>
          <w:lang w:val="fr-FR"/>
        </w:rPr>
      </w:pPr>
      <w:r>
        <w:rPr>
          <w:rStyle w:val="sb8d990e2"/>
          <w:lang w:val="fr-FR"/>
        </w:rPr>
        <w:t>40.  </w:t>
      </w:r>
      <w:r w:rsidRPr="007027F4">
        <w:rPr>
          <w:snapToGrid w:val="0"/>
          <w:lang w:val="fr-FR"/>
        </w:rPr>
        <w:t>Il s</w:t>
      </w:r>
      <w:r>
        <w:rPr>
          <w:snapToGrid w:val="0"/>
          <w:lang w:val="fr-FR"/>
        </w:rPr>
        <w:t>’</w:t>
      </w:r>
      <w:r w:rsidRPr="007027F4">
        <w:rPr>
          <w:snapToGrid w:val="0"/>
          <w:lang w:val="fr-FR"/>
        </w:rPr>
        <w:t xml:space="preserve">ensuit que ce grief est manifestement mal fondé et </w:t>
      </w:r>
      <w:r>
        <w:rPr>
          <w:snapToGrid w:val="0"/>
          <w:lang w:val="fr-FR"/>
        </w:rPr>
        <w:t xml:space="preserve">qu’il </w:t>
      </w:r>
      <w:r w:rsidRPr="007027F4">
        <w:rPr>
          <w:snapToGrid w:val="0"/>
          <w:lang w:val="fr-FR"/>
        </w:rPr>
        <w:t>doit être rejeté</w:t>
      </w:r>
      <w:r>
        <w:rPr>
          <w:snapToGrid w:val="0"/>
          <w:lang w:val="fr-FR"/>
        </w:rPr>
        <w:t>,</w:t>
      </w:r>
      <w:r w:rsidRPr="007027F4">
        <w:rPr>
          <w:snapToGrid w:val="0"/>
          <w:lang w:val="fr-FR"/>
        </w:rPr>
        <w:t xml:space="preserve"> en application de l</w:t>
      </w:r>
      <w:r>
        <w:rPr>
          <w:snapToGrid w:val="0"/>
          <w:lang w:val="fr-FR"/>
        </w:rPr>
        <w:t>’</w:t>
      </w:r>
      <w:r w:rsidRPr="007027F4">
        <w:rPr>
          <w:snapToGrid w:val="0"/>
          <w:lang w:val="fr-FR"/>
        </w:rPr>
        <w:t>article 35 §§ 3 </w:t>
      </w:r>
      <w:r w:rsidRPr="007027F4">
        <w:rPr>
          <w:lang w:val="fr-FR"/>
        </w:rPr>
        <w:t xml:space="preserve">a) </w:t>
      </w:r>
      <w:r w:rsidRPr="007027F4">
        <w:rPr>
          <w:snapToGrid w:val="0"/>
          <w:lang w:val="fr-FR"/>
        </w:rPr>
        <w:t>et 4 de la Convention.</w:t>
      </w:r>
    </w:p>
    <w:p w:rsidR="007A41EB" w:rsidRDefault="007A41EB" w:rsidP="00C940F4">
      <w:pPr>
        <w:pStyle w:val="ECHRHeading2"/>
        <w:rPr>
          <w:lang w:val="fr-FR"/>
        </w:rPr>
      </w:pPr>
      <w:r>
        <w:rPr>
          <w:lang w:val="fr-FR"/>
        </w:rPr>
        <w:t>B.  Sur les griefs tirés de l’article 6 de la Convention</w:t>
      </w:r>
    </w:p>
    <w:p w:rsidR="007A41EB" w:rsidRDefault="007A41EB" w:rsidP="00C940F4">
      <w:pPr>
        <w:pStyle w:val="ECHRPara"/>
        <w:rPr>
          <w:lang w:val="fr-FR"/>
        </w:rPr>
      </w:pPr>
      <w:r>
        <w:rPr>
          <w:lang w:val="fr-FR"/>
        </w:rPr>
        <w:t>41.  Le</w:t>
      </w:r>
      <w:r w:rsidRPr="007D142D">
        <w:rPr>
          <w:lang w:val="fr-FR"/>
        </w:rPr>
        <w:t xml:space="preserve"> requérant </w:t>
      </w:r>
      <w:r>
        <w:rPr>
          <w:lang w:val="fr-FR"/>
        </w:rPr>
        <w:t>considère que son procès n’a pas été équitable et que les juridictions du fond n’étaient pas impartiales.</w:t>
      </w:r>
    </w:p>
    <w:p w:rsidR="007A41EB" w:rsidRDefault="007A41EB" w:rsidP="00C940F4">
      <w:pPr>
        <w:pStyle w:val="ECHRPara"/>
        <w:rPr>
          <w:lang w:val="fr-FR"/>
        </w:rPr>
      </w:pPr>
      <w:r>
        <w:rPr>
          <w:lang w:val="fr-FR"/>
        </w:rPr>
        <w:t>Il invoque l’article 6 §§ 1 et 3 d) de la Convention qui, en ses parties pertinentes en l’espèce, est ainsi libellé :</w:t>
      </w:r>
    </w:p>
    <w:p w:rsidR="007A41EB" w:rsidRPr="00693F69" w:rsidRDefault="007A41EB" w:rsidP="00C940F4">
      <w:pPr>
        <w:pStyle w:val="ECHRParaQuote"/>
        <w:rPr>
          <w:lang w:val="fr-FR"/>
        </w:rPr>
      </w:pPr>
      <w:r w:rsidRPr="00693F69">
        <w:rPr>
          <w:lang w:val="fr-FR"/>
        </w:rPr>
        <w:t>« 1.  Toute personne a droit à ce que sa cause soit entendue équitablement</w:t>
      </w:r>
      <w:r>
        <w:rPr>
          <w:lang w:val="fr-FR"/>
        </w:rPr>
        <w:t xml:space="preserve"> (...)</w:t>
      </w:r>
      <w:r w:rsidRPr="00693F69">
        <w:rPr>
          <w:lang w:val="fr-FR"/>
        </w:rPr>
        <w:t xml:space="preserve"> par un tribunal indépendant et impartial </w:t>
      </w:r>
      <w:r>
        <w:rPr>
          <w:lang w:val="fr-FR"/>
        </w:rPr>
        <w:t>(...)</w:t>
      </w:r>
      <w:r w:rsidRPr="00693F69">
        <w:rPr>
          <w:lang w:val="fr-FR"/>
        </w:rPr>
        <w:t xml:space="preserve"> qui décidera</w:t>
      </w:r>
      <w:r>
        <w:rPr>
          <w:lang w:val="fr-FR"/>
        </w:rPr>
        <w:t xml:space="preserve"> (...)</w:t>
      </w:r>
      <w:r w:rsidRPr="00693F69">
        <w:rPr>
          <w:lang w:val="fr-FR"/>
        </w:rPr>
        <w:t xml:space="preserve"> du bien-fondé de toute accusation en matière pénale dirigée contre elle </w:t>
      </w:r>
      <w:r>
        <w:rPr>
          <w:lang w:val="fr-FR"/>
        </w:rPr>
        <w:t>(...)</w:t>
      </w:r>
    </w:p>
    <w:p w:rsidR="007A41EB" w:rsidRPr="00693F69" w:rsidRDefault="007A41EB" w:rsidP="00C940F4">
      <w:pPr>
        <w:pStyle w:val="ECHRParaQuote"/>
        <w:rPr>
          <w:lang w:val="fr-FR"/>
        </w:rPr>
      </w:pPr>
      <w:r w:rsidRPr="00693F69">
        <w:rPr>
          <w:lang w:val="fr-FR"/>
        </w:rPr>
        <w:t>3.  Tout accusé a droit notamment à :</w:t>
      </w:r>
    </w:p>
    <w:p w:rsidR="007A41EB" w:rsidRPr="00693F69" w:rsidRDefault="007A41EB" w:rsidP="00C940F4">
      <w:pPr>
        <w:pStyle w:val="ECHRParaQuote"/>
        <w:rPr>
          <w:lang w:val="fr-FR"/>
        </w:rPr>
      </w:pPr>
      <w:r>
        <w:rPr>
          <w:lang w:val="fr-FR"/>
        </w:rPr>
        <w:t>(...)</w:t>
      </w:r>
    </w:p>
    <w:p w:rsidR="007A41EB" w:rsidRPr="00693F69" w:rsidRDefault="007A41EB" w:rsidP="00C940F4">
      <w:pPr>
        <w:pStyle w:val="ECHRParaQuote"/>
        <w:rPr>
          <w:lang w:val="fr-FR"/>
        </w:rPr>
      </w:pPr>
      <w:r w:rsidRPr="00693F69">
        <w:rPr>
          <w:lang w:val="fr-FR"/>
        </w:rPr>
        <w:t>d)  interroger ou faire interroger les témoins à charge et obtenir la convocation et l</w:t>
      </w:r>
      <w:r>
        <w:rPr>
          <w:lang w:val="fr-FR"/>
        </w:rPr>
        <w:t>’</w:t>
      </w:r>
      <w:r w:rsidRPr="00693F69">
        <w:rPr>
          <w:lang w:val="fr-FR"/>
        </w:rPr>
        <w:t>interrogation des témoins à décharge dans les mêmes conditions que les témoins à charge ;</w:t>
      </w:r>
    </w:p>
    <w:p w:rsidR="007A41EB" w:rsidRDefault="007A41EB" w:rsidP="00C940F4">
      <w:pPr>
        <w:pStyle w:val="ECHRParaQuote"/>
        <w:rPr>
          <w:lang w:val="fr-FR"/>
        </w:rPr>
      </w:pPr>
      <w:r>
        <w:rPr>
          <w:lang w:val="fr-FR"/>
        </w:rPr>
        <w:t>(...)</w:t>
      </w:r>
      <w:r w:rsidRPr="00693F69">
        <w:rPr>
          <w:lang w:val="fr-FR"/>
        </w:rPr>
        <w:t> »</w:t>
      </w:r>
    </w:p>
    <w:p w:rsidR="007A41EB" w:rsidRPr="00693F69" w:rsidRDefault="007A41EB" w:rsidP="00C940F4">
      <w:pPr>
        <w:pStyle w:val="JuParaSub"/>
        <w:ind w:left="0"/>
        <w:rPr>
          <w:lang w:val="fr-FR"/>
        </w:rPr>
      </w:pPr>
      <w:r>
        <w:rPr>
          <w:lang w:val="fr-FR"/>
        </w:rPr>
        <w:t>42.  L</w:t>
      </w:r>
      <w:r w:rsidRPr="00D43EBD">
        <w:rPr>
          <w:rStyle w:val="sb8d990e2"/>
          <w:lang w:val="fr-FR"/>
        </w:rPr>
        <w:t>es exigences du paragraphe 3 de l</w:t>
      </w:r>
      <w:r>
        <w:rPr>
          <w:rStyle w:val="s547ceb99"/>
          <w:lang w:val="fr-FR"/>
        </w:rPr>
        <w:t>’</w:t>
      </w:r>
      <w:r w:rsidRPr="00D43EBD">
        <w:rPr>
          <w:rStyle w:val="sb8d990e2"/>
          <w:lang w:val="fr-FR"/>
        </w:rPr>
        <w:t xml:space="preserve">article 6 </w:t>
      </w:r>
      <w:r>
        <w:rPr>
          <w:rStyle w:val="sb8d990e2"/>
          <w:lang w:val="fr-FR"/>
        </w:rPr>
        <w:t xml:space="preserve">de la Convention </w:t>
      </w:r>
      <w:r w:rsidRPr="00D43EBD">
        <w:rPr>
          <w:rStyle w:val="sb8d990e2"/>
          <w:lang w:val="fr-FR"/>
        </w:rPr>
        <w:t>s</w:t>
      </w:r>
      <w:r>
        <w:rPr>
          <w:rStyle w:val="s547ceb99"/>
          <w:lang w:val="fr-FR"/>
        </w:rPr>
        <w:t>’</w:t>
      </w:r>
      <w:r w:rsidRPr="00D43EBD">
        <w:rPr>
          <w:rStyle w:val="sb8d990e2"/>
          <w:lang w:val="fr-FR"/>
        </w:rPr>
        <w:t>analys</w:t>
      </w:r>
      <w:r>
        <w:rPr>
          <w:rStyle w:val="sb8d990e2"/>
          <w:lang w:val="fr-FR"/>
        </w:rPr>
        <w:t>a</w:t>
      </w:r>
      <w:r w:rsidRPr="00D43EBD">
        <w:rPr>
          <w:rStyle w:val="sb8d990e2"/>
          <w:lang w:val="fr-FR"/>
        </w:rPr>
        <w:t>nt en aspects particuliers du droit à un procès équitable garanti par le paragraphe</w:t>
      </w:r>
      <w:r>
        <w:rPr>
          <w:rStyle w:val="sb8d990e2"/>
          <w:lang w:val="fr-FR"/>
        </w:rPr>
        <w:t> </w:t>
      </w:r>
      <w:r w:rsidRPr="00D43EBD">
        <w:rPr>
          <w:rStyle w:val="sb8d990e2"/>
          <w:lang w:val="fr-FR"/>
        </w:rPr>
        <w:t>1, la Cour examinera le grief sous l</w:t>
      </w:r>
      <w:r>
        <w:rPr>
          <w:rStyle w:val="s547ceb99"/>
          <w:lang w:val="fr-FR"/>
        </w:rPr>
        <w:t>’</w:t>
      </w:r>
      <w:r w:rsidRPr="00D43EBD">
        <w:rPr>
          <w:rStyle w:val="sb8d990e2"/>
          <w:lang w:val="fr-FR"/>
        </w:rPr>
        <w:t>angle de ces deux textes co</w:t>
      </w:r>
      <w:r>
        <w:rPr>
          <w:rStyle w:val="sb8d990e2"/>
          <w:lang w:val="fr-FR"/>
        </w:rPr>
        <w:t xml:space="preserve">mbinés (voir, parmi beaucoup d’autres, </w:t>
      </w:r>
      <w:r>
        <w:rPr>
          <w:rStyle w:val="sb8d990e2"/>
          <w:i/>
          <w:lang w:val="fr-FR"/>
        </w:rPr>
        <w:t xml:space="preserve">Van </w:t>
      </w:r>
      <w:r w:rsidRPr="00542319">
        <w:rPr>
          <w:rStyle w:val="s7d2086b4"/>
          <w:i/>
          <w:lang w:val="fr-FR"/>
        </w:rPr>
        <w:t>Geyseghem</w:t>
      </w:r>
      <w:r w:rsidRPr="00542319">
        <w:rPr>
          <w:rStyle w:val="s7d2086b4"/>
          <w:lang w:val="fr-FR"/>
        </w:rPr>
        <w:t xml:space="preserve"> </w:t>
      </w:r>
      <w:r>
        <w:rPr>
          <w:rStyle w:val="sb8d990e2"/>
          <w:i/>
          <w:lang w:val="fr-FR"/>
        </w:rPr>
        <w:t xml:space="preserve">c. Belgique </w:t>
      </w:r>
      <w:r>
        <w:rPr>
          <w:rStyle w:val="sb8d990e2"/>
          <w:lang w:val="fr-FR"/>
        </w:rPr>
        <w:t>[GC], n</w:t>
      </w:r>
      <w:r w:rsidRPr="007C0B2A">
        <w:rPr>
          <w:rStyle w:val="sb8d990e2"/>
          <w:vertAlign w:val="superscript"/>
          <w:lang w:val="fr-FR"/>
        </w:rPr>
        <w:t>o</w:t>
      </w:r>
      <w:r>
        <w:rPr>
          <w:rStyle w:val="sb8d990e2"/>
          <w:lang w:val="fr-FR"/>
        </w:rPr>
        <w:t> 26103/95</w:t>
      </w:r>
      <w:r w:rsidRPr="00D43EBD">
        <w:rPr>
          <w:lang w:val="fr-FR"/>
        </w:rPr>
        <w:t xml:space="preserve">, § </w:t>
      </w:r>
      <w:r>
        <w:rPr>
          <w:lang w:val="fr-FR"/>
        </w:rPr>
        <w:t>27</w:t>
      </w:r>
      <w:r w:rsidRPr="00D43EBD">
        <w:rPr>
          <w:lang w:val="fr-FR"/>
        </w:rPr>
        <w:t>, CEDH 1999-I).</w:t>
      </w:r>
      <w:r>
        <w:rPr>
          <w:lang w:val="fr-FR"/>
        </w:rPr>
        <w:t xml:space="preserve"> </w:t>
      </w:r>
      <w:r w:rsidRPr="00263EEB">
        <w:rPr>
          <w:rStyle w:val="sb8d990e2"/>
          <w:lang w:val="fr-FR"/>
        </w:rPr>
        <w:t>En même temps, elle estime opportun d</w:t>
      </w:r>
      <w:r>
        <w:rPr>
          <w:rStyle w:val="sb8d990e2"/>
          <w:lang w:val="fr-FR"/>
        </w:rPr>
        <w:t>’</w:t>
      </w:r>
      <w:r w:rsidRPr="00263EEB">
        <w:rPr>
          <w:rStyle w:val="sb8d990e2"/>
          <w:lang w:val="fr-FR"/>
        </w:rPr>
        <w:t>analyser séparément les griefs concernant l</w:t>
      </w:r>
      <w:r>
        <w:rPr>
          <w:rStyle w:val="sb8d990e2"/>
          <w:lang w:val="fr-FR"/>
        </w:rPr>
        <w:t>’</w:t>
      </w:r>
      <w:r w:rsidRPr="00263EEB">
        <w:rPr>
          <w:rStyle w:val="sb8d990e2"/>
          <w:lang w:val="fr-FR"/>
        </w:rPr>
        <w:t>in</w:t>
      </w:r>
      <w:r>
        <w:rPr>
          <w:rStyle w:val="sb8d990e2"/>
          <w:lang w:val="fr-FR"/>
        </w:rPr>
        <w:t>é</w:t>
      </w:r>
      <w:r w:rsidRPr="00263EEB">
        <w:rPr>
          <w:rStyle w:val="sb8d990e2"/>
          <w:lang w:val="fr-FR"/>
        </w:rPr>
        <w:t xml:space="preserve">quité </w:t>
      </w:r>
      <w:r>
        <w:rPr>
          <w:rStyle w:val="sb8d990e2"/>
          <w:lang w:val="fr-FR"/>
        </w:rPr>
        <w:t xml:space="preserve">alléguée </w:t>
      </w:r>
      <w:r w:rsidRPr="00263EEB">
        <w:rPr>
          <w:rStyle w:val="sb8d990e2"/>
          <w:lang w:val="fr-FR"/>
        </w:rPr>
        <w:t>de la procédure</w:t>
      </w:r>
      <w:r>
        <w:rPr>
          <w:rStyle w:val="sb8d990e2"/>
          <w:lang w:val="fr-FR"/>
        </w:rPr>
        <w:t xml:space="preserve"> de ceux </w:t>
      </w:r>
      <w:r w:rsidRPr="00263EEB">
        <w:rPr>
          <w:rStyle w:val="sb8d990e2"/>
          <w:lang w:val="fr-FR"/>
        </w:rPr>
        <w:t>portant sur un manque d</w:t>
      </w:r>
      <w:r>
        <w:rPr>
          <w:rStyle w:val="sb8d990e2"/>
          <w:lang w:val="fr-FR"/>
        </w:rPr>
        <w:t>’</w:t>
      </w:r>
      <w:r w:rsidRPr="00263EEB">
        <w:rPr>
          <w:rStyle w:val="sb8d990e2"/>
          <w:lang w:val="fr-FR"/>
        </w:rPr>
        <w:t xml:space="preserve">impartialité des juridictions nationales </w:t>
      </w:r>
      <w:r>
        <w:rPr>
          <w:rStyle w:val="sb8d990e2"/>
          <w:lang w:val="fr-FR"/>
        </w:rPr>
        <w:t>(</w:t>
      </w:r>
      <w:r>
        <w:rPr>
          <w:rStyle w:val="sb8d990e2"/>
          <w:i/>
          <w:lang w:val="fr-FR"/>
        </w:rPr>
        <w:t>Previti c. Italie (n</w:t>
      </w:r>
      <w:r w:rsidRPr="007C0B2A">
        <w:rPr>
          <w:rStyle w:val="sb8d990e2"/>
          <w:i/>
          <w:vertAlign w:val="superscript"/>
          <w:lang w:val="fr-FR"/>
        </w:rPr>
        <w:t>o</w:t>
      </w:r>
      <w:r>
        <w:rPr>
          <w:rStyle w:val="sb8d990e2"/>
          <w:i/>
          <w:lang w:val="fr-FR"/>
        </w:rPr>
        <w:t xml:space="preserve"> 4) </w:t>
      </w:r>
      <w:r>
        <w:rPr>
          <w:rStyle w:val="sb8d990e2"/>
          <w:lang w:val="fr-FR"/>
        </w:rPr>
        <w:t>(déc.), n</w:t>
      </w:r>
      <w:r w:rsidRPr="007C0B2A">
        <w:rPr>
          <w:rStyle w:val="sb8d990e2"/>
          <w:vertAlign w:val="superscript"/>
          <w:lang w:val="fr-FR"/>
        </w:rPr>
        <w:t>o</w:t>
      </w:r>
      <w:r>
        <w:rPr>
          <w:rStyle w:val="sb8d990e2"/>
          <w:lang w:val="fr-FR"/>
        </w:rPr>
        <w:t xml:space="preserve"> 1845/08, § 50, </w:t>
      </w:r>
      <w:r w:rsidRPr="00263EEB">
        <w:rPr>
          <w:rStyle w:val="sb8d990e2"/>
          <w:lang w:val="fr-FR"/>
        </w:rPr>
        <w:t>12</w:t>
      </w:r>
      <w:r>
        <w:rPr>
          <w:rStyle w:val="sb8d990e2"/>
          <w:lang w:val="fr-FR"/>
        </w:rPr>
        <w:t> </w:t>
      </w:r>
      <w:r w:rsidRPr="00263EEB">
        <w:rPr>
          <w:rStyle w:val="sb8d990e2"/>
          <w:lang w:val="fr-FR"/>
        </w:rPr>
        <w:t>février 2013</w:t>
      </w:r>
      <w:r>
        <w:rPr>
          <w:rStyle w:val="sb8d990e2"/>
          <w:lang w:val="fr-FR"/>
        </w:rPr>
        <w:t>).</w:t>
      </w:r>
    </w:p>
    <w:p w:rsidR="007A41EB" w:rsidRPr="007027F4" w:rsidRDefault="007A41EB" w:rsidP="00C940F4">
      <w:pPr>
        <w:pStyle w:val="ECHRHeading3"/>
        <w:rPr>
          <w:lang w:val="fr-FR"/>
        </w:rPr>
      </w:pPr>
      <w:r w:rsidRPr="007027F4">
        <w:rPr>
          <w:lang w:val="fr-FR"/>
        </w:rPr>
        <w:t>1.  Doléances relatives à un manqu</w:t>
      </w:r>
      <w:r>
        <w:rPr>
          <w:lang w:val="fr-FR"/>
        </w:rPr>
        <w:t>e</w:t>
      </w:r>
      <w:r w:rsidRPr="007027F4">
        <w:rPr>
          <w:lang w:val="fr-FR"/>
        </w:rPr>
        <w:t xml:space="preserve"> d</w:t>
      </w:r>
      <w:r>
        <w:rPr>
          <w:lang w:val="fr-FR"/>
        </w:rPr>
        <w:t>’</w:t>
      </w:r>
      <w:r w:rsidRPr="007027F4">
        <w:rPr>
          <w:lang w:val="fr-FR"/>
        </w:rPr>
        <w:t>équité de la pro</w:t>
      </w:r>
      <w:r>
        <w:rPr>
          <w:lang w:val="fr-FR"/>
        </w:rPr>
        <w:t>cé</w:t>
      </w:r>
      <w:r w:rsidRPr="007027F4">
        <w:rPr>
          <w:lang w:val="fr-FR"/>
        </w:rPr>
        <w:t>dure</w:t>
      </w:r>
    </w:p>
    <w:p w:rsidR="007A41EB" w:rsidRDefault="007A41EB" w:rsidP="00C940F4">
      <w:pPr>
        <w:pStyle w:val="ECHRPara"/>
        <w:rPr>
          <w:lang w:val="fr-FR"/>
        </w:rPr>
      </w:pPr>
      <w:r>
        <w:rPr>
          <w:lang w:val="fr-FR"/>
        </w:rPr>
        <w:t>43.  Le requérant considère qu’il y a eu violation de son droit d’obtenir l’interrogation des témoins à décharge. Il soutient qu’un seul témoin l’avait désigné comme étant le « vrai patron » d’une des sociétés et que tel n’était pas le cas des onze autres témoins interrogés lors des débats. Il indique par ailleurs que plusieurs éléments démontraient que le gérant de la société I. était M. R. Il ajoute que, en vue de faire établir ces éléments, il avait demandé la convocation de M</w:t>
      </w:r>
      <w:r w:rsidRPr="00C940F4">
        <w:rPr>
          <w:vertAlign w:val="superscript"/>
          <w:lang w:val="fr-FR"/>
        </w:rPr>
        <w:t>me</w:t>
      </w:r>
      <w:r>
        <w:rPr>
          <w:lang w:val="fr-FR"/>
        </w:rPr>
        <w:t xml:space="preserve"> C. en tant que témoin, ainsi qu’une deuxième audition de deux des témoins, et qu’il avait en outre sollicité une expertise comptable et une expertise graphologique des signatures apposées sur certains documents. À cet égard, il déclare que les juridictions internes ont non seulement omis d’accorder un poids décisif aux témoignages allant en sa faveur, mais qu’elles ont également rejeté ses demandes visant à l’audition ou la nouvelle audition des témoins et à la réalisation des expertises.</w:t>
      </w:r>
    </w:p>
    <w:p w:rsidR="007A41EB" w:rsidRDefault="007A41EB" w:rsidP="00C940F4">
      <w:pPr>
        <w:pStyle w:val="ECHRPara"/>
        <w:rPr>
          <w:lang w:val="fr-FR"/>
        </w:rPr>
      </w:pPr>
      <w:r>
        <w:rPr>
          <w:lang w:val="fr-FR"/>
        </w:rPr>
        <w:t xml:space="preserve">44.  Le requérant conteste en outre les motivations par lesquelles les juridictions internes ont estimé qu’il était l’administrateur </w:t>
      </w:r>
      <w:r>
        <w:rPr>
          <w:i/>
          <w:lang w:val="fr-FR"/>
        </w:rPr>
        <w:t>de facto</w:t>
      </w:r>
      <w:r>
        <w:rPr>
          <w:lang w:val="fr-FR"/>
        </w:rPr>
        <w:t xml:space="preserve"> des sociétés et ont conclu à l’existence d’un dol. Il considère que les preuves qu’il a produites à sa décharge n’ont pas été dûment évaluées. Il allègue que, en dépit du désistement de constitution de partie civile opéré par les </w:t>
      </w:r>
      <w:r w:rsidRPr="008E688A">
        <w:rPr>
          <w:lang w:val="fr-FR"/>
        </w:rPr>
        <w:t>curateurs des sociétés déclarées en état de faillite</w:t>
      </w:r>
      <w:r>
        <w:rPr>
          <w:lang w:val="fr-FR"/>
        </w:rPr>
        <w:t xml:space="preserve"> (paragraphe 17 ci-dessus), la Cour de cassation a confirmé sa condamnation au paiement d’acomptes, ce qui démontrerait l’inéquité du procès.</w:t>
      </w:r>
    </w:p>
    <w:p w:rsidR="007A41EB" w:rsidRDefault="007A41EB" w:rsidP="00C940F4">
      <w:pPr>
        <w:pStyle w:val="ECHRPara"/>
        <w:rPr>
          <w:rStyle w:val="sb8d990e2"/>
          <w:lang w:val="fr-FR"/>
        </w:rPr>
      </w:pPr>
      <w:r>
        <w:rPr>
          <w:lang w:val="fr-FR"/>
        </w:rPr>
        <w:t>45.  </w:t>
      </w:r>
      <w:r w:rsidRPr="000D5AF9">
        <w:rPr>
          <w:rStyle w:val="sb8d990e2"/>
          <w:lang w:val="fr-FR"/>
        </w:rPr>
        <w:t>La Cour rappelle qu</w:t>
      </w:r>
      <w:r>
        <w:rPr>
          <w:rStyle w:val="sb8d990e2"/>
          <w:lang w:val="fr-FR"/>
        </w:rPr>
        <w:t>’</w:t>
      </w:r>
      <w:r w:rsidRPr="000D5AF9">
        <w:rPr>
          <w:rStyle w:val="sb8d990e2"/>
          <w:lang w:val="fr-FR"/>
        </w:rPr>
        <w:t>il revient en principe aux juridictions nationales d</w:t>
      </w:r>
      <w:r>
        <w:rPr>
          <w:rStyle w:val="sb8d990e2"/>
          <w:lang w:val="fr-FR"/>
        </w:rPr>
        <w:t>’</w:t>
      </w:r>
      <w:r w:rsidRPr="000D5AF9">
        <w:rPr>
          <w:rStyle w:val="sb8d990e2"/>
          <w:lang w:val="fr-FR"/>
        </w:rPr>
        <w:t>apprécier les éléments rassemblés par elles et la pertinence de ceux dont les accusés souhaitent la production (</w:t>
      </w:r>
      <w:r w:rsidRPr="000D5AF9">
        <w:rPr>
          <w:rStyle w:val="s6b621b36"/>
          <w:i/>
          <w:lang w:val="fr-FR"/>
        </w:rPr>
        <w:t>Barberà, Messegué et Jabardo c.</w:t>
      </w:r>
      <w:r>
        <w:rPr>
          <w:rStyle w:val="s6b621b36"/>
          <w:i/>
          <w:lang w:val="fr-FR"/>
        </w:rPr>
        <w:t> </w:t>
      </w:r>
      <w:r w:rsidRPr="000D5AF9">
        <w:rPr>
          <w:rStyle w:val="s6b621b36"/>
          <w:i/>
          <w:lang w:val="fr-FR"/>
        </w:rPr>
        <w:t>Espagne</w:t>
      </w:r>
      <w:r w:rsidRPr="000D5AF9">
        <w:rPr>
          <w:rStyle w:val="sb8d990e2"/>
          <w:lang w:val="fr-FR"/>
        </w:rPr>
        <w:t xml:space="preserve">, 6 décembre 1988, § </w:t>
      </w:r>
      <w:r>
        <w:rPr>
          <w:rStyle w:val="sb8d990e2"/>
          <w:lang w:val="fr-FR"/>
        </w:rPr>
        <w:t>68</w:t>
      </w:r>
      <w:r w:rsidRPr="000D5AF9">
        <w:rPr>
          <w:rStyle w:val="sb8d990e2"/>
          <w:lang w:val="fr-FR"/>
        </w:rPr>
        <w:t>, série A n</w:t>
      </w:r>
      <w:r w:rsidRPr="007C0B2A">
        <w:rPr>
          <w:rStyle w:val="sb8d990e2"/>
          <w:vertAlign w:val="superscript"/>
          <w:lang w:val="fr-FR"/>
        </w:rPr>
        <w:t>o</w:t>
      </w:r>
      <w:r w:rsidRPr="000D5AF9">
        <w:rPr>
          <w:rStyle w:val="sb8d990e2"/>
          <w:lang w:val="fr-FR"/>
        </w:rPr>
        <w:t xml:space="preserve"> 146). Plus particulièrement, l</w:t>
      </w:r>
      <w:r>
        <w:rPr>
          <w:rStyle w:val="sb8d990e2"/>
          <w:lang w:val="fr-FR"/>
        </w:rPr>
        <w:t>’</w:t>
      </w:r>
      <w:r w:rsidRPr="000D5AF9">
        <w:rPr>
          <w:rStyle w:val="sb8d990e2"/>
          <w:lang w:val="fr-FR"/>
        </w:rPr>
        <w:t xml:space="preserve">article 6 § 3 d) </w:t>
      </w:r>
      <w:r>
        <w:rPr>
          <w:rStyle w:val="sb8d990e2"/>
          <w:lang w:val="fr-FR"/>
        </w:rPr>
        <w:t xml:space="preserve">de la Convention </w:t>
      </w:r>
      <w:r w:rsidRPr="000D5AF9">
        <w:rPr>
          <w:rStyle w:val="sb8d990e2"/>
          <w:lang w:val="fr-FR"/>
        </w:rPr>
        <w:t>leur laisse, toujours en principe, le soin de juger de l</w:t>
      </w:r>
      <w:r>
        <w:rPr>
          <w:rStyle w:val="sb8d990e2"/>
          <w:lang w:val="fr-FR"/>
        </w:rPr>
        <w:t>’</w:t>
      </w:r>
      <w:r w:rsidRPr="000D5AF9">
        <w:rPr>
          <w:rStyle w:val="sb8d990e2"/>
          <w:lang w:val="fr-FR"/>
        </w:rPr>
        <w:t>utilité d</w:t>
      </w:r>
      <w:r>
        <w:rPr>
          <w:rStyle w:val="sb8d990e2"/>
          <w:lang w:val="fr-FR"/>
        </w:rPr>
        <w:t>’</w:t>
      </w:r>
      <w:r w:rsidRPr="000D5AF9">
        <w:rPr>
          <w:rStyle w:val="sb8d990e2"/>
          <w:lang w:val="fr-FR"/>
        </w:rPr>
        <w:t>une offre de preuve par témoins (</w:t>
      </w:r>
      <w:r w:rsidRPr="000D5AF9">
        <w:rPr>
          <w:rStyle w:val="s6b621b36"/>
          <w:i/>
          <w:lang w:val="fr-FR"/>
        </w:rPr>
        <w:t>Asch c. Autriche</w:t>
      </w:r>
      <w:r w:rsidRPr="000D5AF9">
        <w:rPr>
          <w:rStyle w:val="sb8d990e2"/>
          <w:lang w:val="fr-FR"/>
        </w:rPr>
        <w:t>, 26</w:t>
      </w:r>
      <w:r>
        <w:rPr>
          <w:rStyle w:val="sb8d990e2"/>
          <w:lang w:val="fr-FR"/>
        </w:rPr>
        <w:t> </w:t>
      </w:r>
      <w:r w:rsidRPr="000D5AF9">
        <w:rPr>
          <w:rStyle w:val="sb8d990e2"/>
          <w:lang w:val="fr-FR"/>
        </w:rPr>
        <w:t>avril 1991, § 25, série A n</w:t>
      </w:r>
      <w:r w:rsidRPr="007C0B2A">
        <w:rPr>
          <w:rStyle w:val="sb8d990e2"/>
          <w:vertAlign w:val="superscript"/>
          <w:lang w:val="fr-FR"/>
        </w:rPr>
        <w:t>o</w:t>
      </w:r>
      <w:r w:rsidRPr="000D5AF9">
        <w:rPr>
          <w:rStyle w:val="sb8d990e2"/>
          <w:lang w:val="fr-FR"/>
        </w:rPr>
        <w:t xml:space="preserve"> 203). Cette disposition n</w:t>
      </w:r>
      <w:r>
        <w:rPr>
          <w:rStyle w:val="sb8d990e2"/>
          <w:lang w:val="fr-FR"/>
        </w:rPr>
        <w:t>’</w:t>
      </w:r>
      <w:r w:rsidRPr="000D5AF9">
        <w:rPr>
          <w:rStyle w:val="sb8d990e2"/>
          <w:lang w:val="fr-FR"/>
        </w:rPr>
        <w:t>exige pas la convocation et l</w:t>
      </w:r>
      <w:r>
        <w:rPr>
          <w:rStyle w:val="sb8d990e2"/>
          <w:lang w:val="fr-FR"/>
        </w:rPr>
        <w:t>’</w:t>
      </w:r>
      <w:r w:rsidRPr="000D5AF9">
        <w:rPr>
          <w:rStyle w:val="sb8d990e2"/>
          <w:lang w:val="fr-FR"/>
        </w:rPr>
        <w:t>interrogation de tout témoin à décharge</w:t>
      </w:r>
      <w:r>
        <w:rPr>
          <w:rStyle w:val="sb8d990e2"/>
          <w:lang w:val="fr-FR"/>
        </w:rPr>
        <w:t> </w:t>
      </w:r>
      <w:r w:rsidRPr="000D5AF9">
        <w:rPr>
          <w:rStyle w:val="sb8d990e2"/>
          <w:lang w:val="fr-FR"/>
        </w:rPr>
        <w:t>: ainsi que l</w:t>
      </w:r>
      <w:r>
        <w:rPr>
          <w:rStyle w:val="sb8d990e2"/>
          <w:lang w:val="fr-FR"/>
        </w:rPr>
        <w:t>’</w:t>
      </w:r>
      <w:r w:rsidRPr="000D5AF9">
        <w:rPr>
          <w:rStyle w:val="sb8d990e2"/>
          <w:lang w:val="fr-FR"/>
        </w:rPr>
        <w:t>indiquent les mots «</w:t>
      </w:r>
      <w:r>
        <w:rPr>
          <w:rStyle w:val="sb8d990e2"/>
          <w:lang w:val="fr-FR"/>
        </w:rPr>
        <w:t> </w:t>
      </w:r>
      <w:r w:rsidRPr="000D5AF9">
        <w:rPr>
          <w:rStyle w:val="sb8d990e2"/>
          <w:lang w:val="fr-FR"/>
        </w:rPr>
        <w:t>dans les mêmes conditions », elle a pour but essentiel une complète «</w:t>
      </w:r>
      <w:r>
        <w:rPr>
          <w:rStyle w:val="sb8d990e2"/>
          <w:lang w:val="fr-FR"/>
        </w:rPr>
        <w:t> </w:t>
      </w:r>
      <w:r w:rsidRPr="000D5AF9">
        <w:rPr>
          <w:rStyle w:val="sb8d990e2"/>
          <w:lang w:val="fr-FR"/>
        </w:rPr>
        <w:t>égalité des armes » en la matière (</w:t>
      </w:r>
      <w:r w:rsidRPr="000D5AF9">
        <w:rPr>
          <w:rStyle w:val="s6b621b36"/>
          <w:i/>
          <w:lang w:val="fr-FR"/>
        </w:rPr>
        <w:t>Bricmont c. Belgique</w:t>
      </w:r>
      <w:r w:rsidRPr="000D5AF9">
        <w:rPr>
          <w:rStyle w:val="sb8d990e2"/>
          <w:lang w:val="fr-FR"/>
        </w:rPr>
        <w:t>, 7</w:t>
      </w:r>
      <w:r>
        <w:rPr>
          <w:rStyle w:val="sb8d990e2"/>
          <w:lang w:val="fr-FR"/>
        </w:rPr>
        <w:t> </w:t>
      </w:r>
      <w:r w:rsidRPr="000D5AF9">
        <w:rPr>
          <w:rStyle w:val="sb8d990e2"/>
          <w:lang w:val="fr-FR"/>
        </w:rPr>
        <w:t>juillet 1989, §</w:t>
      </w:r>
      <w:r>
        <w:rPr>
          <w:rStyle w:val="sb8d990e2"/>
          <w:lang w:val="fr-FR"/>
        </w:rPr>
        <w:t> </w:t>
      </w:r>
      <w:r w:rsidRPr="000D5AF9">
        <w:rPr>
          <w:rStyle w:val="sb8d990e2"/>
          <w:lang w:val="fr-FR"/>
        </w:rPr>
        <w:t>89, série A n</w:t>
      </w:r>
      <w:r w:rsidRPr="007C0B2A">
        <w:rPr>
          <w:rStyle w:val="sea881cdf"/>
          <w:vertAlign w:val="superscript"/>
          <w:lang w:val="fr-FR"/>
        </w:rPr>
        <w:t>o</w:t>
      </w:r>
      <w:r w:rsidRPr="000D5AF9">
        <w:rPr>
          <w:rStyle w:val="sb8d990e2"/>
          <w:lang w:val="fr-FR"/>
        </w:rPr>
        <w:t xml:space="preserve"> 158). Il appartient </w:t>
      </w:r>
      <w:r>
        <w:rPr>
          <w:rStyle w:val="sb8d990e2"/>
          <w:lang w:val="fr-FR"/>
        </w:rPr>
        <w:t xml:space="preserve">ainsi </w:t>
      </w:r>
      <w:r w:rsidRPr="000D5AF9">
        <w:rPr>
          <w:rStyle w:val="sb8d990e2"/>
          <w:lang w:val="fr-FR"/>
        </w:rPr>
        <w:t>à la Cour de contrôler si l</w:t>
      </w:r>
      <w:r>
        <w:rPr>
          <w:rStyle w:val="sb8d990e2"/>
          <w:lang w:val="fr-FR"/>
        </w:rPr>
        <w:t>’</w:t>
      </w:r>
      <w:r w:rsidRPr="000D5AF9">
        <w:rPr>
          <w:rStyle w:val="sb8d990e2"/>
          <w:lang w:val="fr-FR"/>
        </w:rPr>
        <w:t>accusé a eu une occasion adéquate et suffisante de contester les soupçons qui pesaient sur lui (</w:t>
      </w:r>
      <w:r w:rsidRPr="000D5AF9">
        <w:rPr>
          <w:rStyle w:val="s6b621b36"/>
          <w:i/>
          <w:lang w:val="fr-FR"/>
        </w:rPr>
        <w:t>Kajolli c. Italie</w:t>
      </w:r>
      <w:r w:rsidRPr="000D5AF9">
        <w:rPr>
          <w:rStyle w:val="sb8d990e2"/>
          <w:lang w:val="fr-FR"/>
        </w:rPr>
        <w:t xml:space="preserve"> (déc.), n</w:t>
      </w:r>
      <w:r w:rsidRPr="007C0B2A">
        <w:rPr>
          <w:rStyle w:val="sb8d990e2"/>
          <w:vertAlign w:val="superscript"/>
          <w:lang w:val="fr-FR"/>
        </w:rPr>
        <w:t>o</w:t>
      </w:r>
      <w:r w:rsidRPr="000D5AF9">
        <w:rPr>
          <w:rStyle w:val="sb8d990e2"/>
          <w:lang w:val="fr-FR"/>
        </w:rPr>
        <w:t xml:space="preserve"> </w:t>
      </w:r>
      <w:r>
        <w:rPr>
          <w:rStyle w:val="sb8d990e2"/>
          <w:lang w:val="fr-FR"/>
        </w:rPr>
        <w:t>17494/07</w:t>
      </w:r>
      <w:r w:rsidRPr="000D5AF9">
        <w:rPr>
          <w:rStyle w:val="sb8d990e2"/>
          <w:lang w:val="fr-FR"/>
        </w:rPr>
        <w:t>, 29 avril 2008).</w:t>
      </w:r>
    </w:p>
    <w:p w:rsidR="007A41EB" w:rsidRDefault="007A41EB" w:rsidP="00C940F4">
      <w:pPr>
        <w:pStyle w:val="ECHRPara"/>
        <w:rPr>
          <w:rStyle w:val="sb8d990e2"/>
          <w:lang w:val="fr-FR"/>
        </w:rPr>
      </w:pPr>
      <w:r>
        <w:rPr>
          <w:rStyle w:val="sb8d990e2"/>
          <w:lang w:val="fr-FR"/>
        </w:rPr>
        <w:t>46.  Dans la mesure où le requérant se plaint du refus des juridictions nationales d’ordonner une nouvelle convocation de deux témoins, l</w:t>
      </w:r>
      <w:r w:rsidRPr="000D5AF9">
        <w:rPr>
          <w:rStyle w:val="sb8d990e2"/>
          <w:lang w:val="fr-FR"/>
        </w:rPr>
        <w:t xml:space="preserve">a Cour </w:t>
      </w:r>
      <w:r>
        <w:rPr>
          <w:rStyle w:val="sb8d990e2"/>
          <w:lang w:val="fr-FR"/>
        </w:rPr>
        <w:t xml:space="preserve">note </w:t>
      </w:r>
      <w:r w:rsidRPr="000D5AF9">
        <w:rPr>
          <w:rStyle w:val="sb8d990e2"/>
          <w:lang w:val="fr-FR"/>
        </w:rPr>
        <w:t xml:space="preserve">que </w:t>
      </w:r>
      <w:r>
        <w:rPr>
          <w:rStyle w:val="sb8d990e2"/>
          <w:lang w:val="fr-FR"/>
        </w:rPr>
        <w:t>l’intéressé</w:t>
      </w:r>
      <w:r w:rsidRPr="000D5AF9">
        <w:rPr>
          <w:rStyle w:val="sb8d990e2"/>
          <w:lang w:val="fr-FR"/>
        </w:rPr>
        <w:t xml:space="preserve"> a eu le loisir, par l</w:t>
      </w:r>
      <w:r>
        <w:rPr>
          <w:rStyle w:val="sb8d990e2"/>
          <w:lang w:val="fr-FR"/>
        </w:rPr>
        <w:t>’</w:t>
      </w:r>
      <w:r w:rsidRPr="000D5AF9">
        <w:rPr>
          <w:rStyle w:val="sb8d990e2"/>
          <w:lang w:val="fr-FR"/>
        </w:rPr>
        <w:t xml:space="preserve">intermédiaire des avocats de son choix, de poser à </w:t>
      </w:r>
      <w:r>
        <w:rPr>
          <w:rStyle w:val="sb8d990e2"/>
          <w:lang w:val="fr-FR"/>
        </w:rPr>
        <w:t>ces témoins</w:t>
      </w:r>
      <w:r w:rsidRPr="000D5AF9">
        <w:rPr>
          <w:rStyle w:val="sb8d990e2"/>
          <w:lang w:val="fr-FR"/>
        </w:rPr>
        <w:t xml:space="preserve"> les questions qu</w:t>
      </w:r>
      <w:r>
        <w:rPr>
          <w:rStyle w:val="sb8d990e2"/>
          <w:lang w:val="fr-FR"/>
        </w:rPr>
        <w:t>’</w:t>
      </w:r>
      <w:r w:rsidRPr="000D5AF9">
        <w:rPr>
          <w:rStyle w:val="sb8d990e2"/>
          <w:lang w:val="fr-FR"/>
        </w:rPr>
        <w:t xml:space="preserve">il a estimées utiles pour sa défense au cours du procès </w:t>
      </w:r>
      <w:r>
        <w:rPr>
          <w:rStyle w:val="sb8d990e2"/>
          <w:lang w:val="fr-FR"/>
        </w:rPr>
        <w:t>en</w:t>
      </w:r>
      <w:r w:rsidRPr="000D5AF9">
        <w:rPr>
          <w:rStyle w:val="sb8d990e2"/>
          <w:lang w:val="fr-FR"/>
        </w:rPr>
        <w:t xml:space="preserve"> première instance. Il a ainsi eu une occasion adéquate et suffisante de fonder sa ligne de défense sur les déclarations de ce</w:t>
      </w:r>
      <w:r>
        <w:rPr>
          <w:rStyle w:val="sb8d990e2"/>
          <w:lang w:val="fr-FR"/>
        </w:rPr>
        <w:t>s</w:t>
      </w:r>
      <w:r w:rsidRPr="000D5AF9">
        <w:rPr>
          <w:rStyle w:val="sb8d990e2"/>
          <w:lang w:val="fr-FR"/>
        </w:rPr>
        <w:t xml:space="preserve"> témoin</w:t>
      </w:r>
      <w:r>
        <w:rPr>
          <w:rStyle w:val="sb8d990e2"/>
          <w:lang w:val="fr-FR"/>
        </w:rPr>
        <w:t>s</w:t>
      </w:r>
      <w:r w:rsidRPr="000D5AF9">
        <w:rPr>
          <w:rStyle w:val="sb8d990e2"/>
          <w:lang w:val="fr-FR"/>
        </w:rPr>
        <w:t>. Dans ces circonstances, la Cour estime qu</w:t>
      </w:r>
      <w:r>
        <w:rPr>
          <w:rStyle w:val="sb8d990e2"/>
          <w:lang w:val="fr-FR"/>
        </w:rPr>
        <w:t>’</w:t>
      </w:r>
      <w:r w:rsidRPr="000D5AF9">
        <w:rPr>
          <w:rStyle w:val="sb8d990e2"/>
          <w:lang w:val="fr-FR"/>
        </w:rPr>
        <w:t>il ne s</w:t>
      </w:r>
      <w:r>
        <w:rPr>
          <w:rStyle w:val="sb8d990e2"/>
          <w:lang w:val="fr-FR"/>
        </w:rPr>
        <w:t>’</w:t>
      </w:r>
      <w:r w:rsidRPr="000D5AF9">
        <w:rPr>
          <w:rStyle w:val="sb8d990e2"/>
          <w:lang w:val="fr-FR"/>
        </w:rPr>
        <w:t>imposait pas d</w:t>
      </w:r>
      <w:r>
        <w:rPr>
          <w:rStyle w:val="sb8d990e2"/>
          <w:lang w:val="fr-FR"/>
        </w:rPr>
        <w:t>’</w:t>
      </w:r>
      <w:r w:rsidRPr="000D5AF9">
        <w:rPr>
          <w:rStyle w:val="sb8d990e2"/>
          <w:lang w:val="fr-FR"/>
        </w:rPr>
        <w:t>ordonner une nouvelle audition de ce</w:t>
      </w:r>
      <w:r>
        <w:rPr>
          <w:rStyle w:val="sb8d990e2"/>
          <w:lang w:val="fr-FR"/>
        </w:rPr>
        <w:t>ux-ci</w:t>
      </w:r>
      <w:r w:rsidRPr="000D5AF9">
        <w:rPr>
          <w:rStyle w:val="sb8d990e2"/>
          <w:lang w:val="fr-FR"/>
        </w:rPr>
        <w:t xml:space="preserve"> (</w:t>
      </w:r>
      <w:r>
        <w:rPr>
          <w:rStyle w:val="sb8d990e2"/>
          <w:lang w:val="fr-FR"/>
        </w:rPr>
        <w:t xml:space="preserve">voir, </w:t>
      </w:r>
      <w:r>
        <w:rPr>
          <w:rStyle w:val="sb8d990e2"/>
          <w:i/>
          <w:lang w:val="fr-FR"/>
        </w:rPr>
        <w:t>mutatis mutandis</w:t>
      </w:r>
      <w:r>
        <w:rPr>
          <w:rStyle w:val="sb8d990e2"/>
          <w:lang w:val="fr-FR"/>
        </w:rPr>
        <w:t xml:space="preserve">, </w:t>
      </w:r>
      <w:r w:rsidRPr="000D5AF9">
        <w:rPr>
          <w:rStyle w:val="s6b621b36"/>
          <w:i/>
          <w:lang w:val="fr-FR"/>
        </w:rPr>
        <w:t>Acampora c. Italie</w:t>
      </w:r>
      <w:r w:rsidRPr="000D5AF9">
        <w:rPr>
          <w:rStyle w:val="s6b621b36"/>
          <w:lang w:val="fr-FR"/>
        </w:rPr>
        <w:t xml:space="preserve"> </w:t>
      </w:r>
      <w:r w:rsidRPr="000D5AF9">
        <w:rPr>
          <w:rStyle w:val="sb8d990e2"/>
          <w:lang w:val="fr-FR"/>
        </w:rPr>
        <w:t>(déc.), n</w:t>
      </w:r>
      <w:r w:rsidRPr="007C0B2A">
        <w:rPr>
          <w:rStyle w:val="sb8d990e2"/>
          <w:vertAlign w:val="superscript"/>
          <w:lang w:val="fr-FR"/>
        </w:rPr>
        <w:t>o</w:t>
      </w:r>
      <w:r>
        <w:rPr>
          <w:rStyle w:val="sb8d990e2"/>
          <w:lang w:val="fr-FR"/>
        </w:rPr>
        <w:t> 2072/08</w:t>
      </w:r>
      <w:r w:rsidRPr="000D5AF9">
        <w:rPr>
          <w:rStyle w:val="sb8d990e2"/>
          <w:lang w:val="fr-FR"/>
        </w:rPr>
        <w:t>, §</w:t>
      </w:r>
      <w:r>
        <w:rPr>
          <w:rStyle w:val="sb8d990e2"/>
          <w:lang w:val="fr-FR"/>
        </w:rPr>
        <w:t> </w:t>
      </w:r>
      <w:r w:rsidRPr="000D5AF9">
        <w:rPr>
          <w:rStyle w:val="sb8d990e2"/>
          <w:lang w:val="fr-FR"/>
        </w:rPr>
        <w:t>46, 8 janvier 2013</w:t>
      </w:r>
      <w:r>
        <w:rPr>
          <w:rStyle w:val="sb8d990e2"/>
          <w:lang w:val="fr-FR"/>
        </w:rPr>
        <w:t xml:space="preserve"> et </w:t>
      </w:r>
      <w:r>
        <w:rPr>
          <w:rStyle w:val="sb8d990e2"/>
          <w:i/>
          <w:lang w:val="fr-FR"/>
        </w:rPr>
        <w:t xml:space="preserve">Previti c. Italie </w:t>
      </w:r>
      <w:r>
        <w:rPr>
          <w:rStyle w:val="sb8d990e2"/>
          <w:lang w:val="fr-FR"/>
        </w:rPr>
        <w:t>(déc.), n</w:t>
      </w:r>
      <w:r w:rsidRPr="007C0B2A">
        <w:rPr>
          <w:rStyle w:val="sb8d990e2"/>
          <w:vertAlign w:val="superscript"/>
          <w:lang w:val="fr-FR"/>
        </w:rPr>
        <w:t>o</w:t>
      </w:r>
      <w:r>
        <w:rPr>
          <w:rStyle w:val="sb8d990e2"/>
          <w:lang w:val="fr-FR"/>
        </w:rPr>
        <w:t xml:space="preserve"> 1845/08, § 66, 12 février 2013</w:t>
      </w:r>
      <w:r w:rsidRPr="000D5AF9">
        <w:rPr>
          <w:rStyle w:val="sb8d990e2"/>
          <w:lang w:val="fr-FR"/>
        </w:rPr>
        <w:t>).</w:t>
      </w:r>
    </w:p>
    <w:p w:rsidR="007A41EB" w:rsidRDefault="007A41EB" w:rsidP="00C940F4">
      <w:pPr>
        <w:pStyle w:val="ECHRPara"/>
        <w:rPr>
          <w:lang w:val="fr-FR"/>
        </w:rPr>
      </w:pPr>
      <w:r>
        <w:rPr>
          <w:rStyle w:val="sb8d990e2"/>
          <w:lang w:val="fr-FR"/>
        </w:rPr>
        <w:t xml:space="preserve">47.  Pour ce qui est du refus de la cour d’appel de convoquer et interroger </w:t>
      </w:r>
      <w:r>
        <w:rPr>
          <w:lang w:val="fr-FR"/>
        </w:rPr>
        <w:t>M</w:t>
      </w:r>
      <w:r w:rsidRPr="00C940F4">
        <w:rPr>
          <w:vertAlign w:val="superscript"/>
          <w:lang w:val="fr-FR"/>
        </w:rPr>
        <w:t>me</w:t>
      </w:r>
      <w:r>
        <w:rPr>
          <w:lang w:val="fr-FR"/>
        </w:rPr>
        <w:t xml:space="preserve"> C. et d’ordonner la réalisation des expertises graphologique et comptable, la Cour relève que par ces moyens de preuve le requérant visait à démontrer qu’il n’était pas l’administrateur </w:t>
      </w:r>
      <w:r>
        <w:rPr>
          <w:i/>
          <w:lang w:val="fr-FR"/>
        </w:rPr>
        <w:t xml:space="preserve">de facto </w:t>
      </w:r>
      <w:r>
        <w:rPr>
          <w:lang w:val="fr-FR"/>
        </w:rPr>
        <w:t>des sociétés impliquées dans la banqueroute. Cependant, les juridictions du fond ont estimé que cette circonstance était prouvée par de nombreux éléments, à savoir des témoignages faits lors des débats et des rapports d’expertise (paragraphes 13, 19 et 23 ci-dessus) : elles ont donc considéré qu’il était superflu de produire les preuves ultérieures sollicitées par le requérant, ce qui – aux yeux de la Cour – ne saurait passer pour arbitraire. Au demeurant, la Cour observe que rien n’empêchait le requérant de faire réaliser les expertises en question par des experts de son choix et de déposer leurs rapports aux greffes des juridictions du fond et que, par ailleurs, la défense a obtenu en première instance la convocation et l’interrogation de douze témoins et d’un expert (paragraphe 9 ci-dessus).</w:t>
      </w:r>
    </w:p>
    <w:p w:rsidR="007A41EB" w:rsidRPr="000D5AF9" w:rsidRDefault="007A41EB" w:rsidP="00C940F4">
      <w:pPr>
        <w:pStyle w:val="ECHRPara"/>
        <w:rPr>
          <w:rStyle w:val="sb8d990e2"/>
          <w:lang w:val="fr-FR"/>
        </w:rPr>
      </w:pPr>
      <w:r>
        <w:rPr>
          <w:lang w:val="fr-FR"/>
        </w:rPr>
        <w:t xml:space="preserve">48.  À la lumière de ce qui précède, la Cour </w:t>
      </w:r>
      <w:r w:rsidRPr="00350508">
        <w:rPr>
          <w:rStyle w:val="sb8d990e2"/>
          <w:lang w:val="fr-FR"/>
        </w:rPr>
        <w:t>ne saurait considérer que les décisions contestées par le requérant aient pu porter atteinte aux droits de la défense au point d</w:t>
      </w:r>
      <w:r>
        <w:rPr>
          <w:rStyle w:val="sb8d990e2"/>
          <w:lang w:val="fr-FR"/>
        </w:rPr>
        <w:t>’</w:t>
      </w:r>
      <w:r w:rsidRPr="00350508">
        <w:rPr>
          <w:rStyle w:val="sb8d990e2"/>
          <w:lang w:val="fr-FR"/>
        </w:rPr>
        <w:t>enfreindre l</w:t>
      </w:r>
      <w:r>
        <w:rPr>
          <w:rStyle w:val="sb8d990e2"/>
          <w:lang w:val="fr-FR"/>
        </w:rPr>
        <w:t>’</w:t>
      </w:r>
      <w:r w:rsidRPr="00350508">
        <w:rPr>
          <w:rStyle w:val="sb8d990e2"/>
          <w:lang w:val="fr-FR"/>
        </w:rPr>
        <w:t>article 6 de la Convention</w:t>
      </w:r>
      <w:r>
        <w:rPr>
          <w:rStyle w:val="sb8d990e2"/>
          <w:lang w:val="fr-FR"/>
        </w:rPr>
        <w:t xml:space="preserve"> (voir, </w:t>
      </w:r>
      <w:r>
        <w:rPr>
          <w:rStyle w:val="sb8d990e2"/>
          <w:i/>
          <w:lang w:val="fr-FR"/>
        </w:rPr>
        <w:t>mutatis mutandis</w:t>
      </w:r>
      <w:r>
        <w:rPr>
          <w:rStyle w:val="sb8d990e2"/>
          <w:lang w:val="fr-FR"/>
        </w:rPr>
        <w:t xml:space="preserve">, </w:t>
      </w:r>
      <w:r w:rsidRPr="00350508">
        <w:rPr>
          <w:rStyle w:val="s6b621b36"/>
          <w:i/>
          <w:lang w:val="fr-FR"/>
        </w:rPr>
        <w:t>Acampora</w:t>
      </w:r>
      <w:r w:rsidRPr="00350508">
        <w:rPr>
          <w:rStyle w:val="s6b621b36"/>
          <w:lang w:val="fr-FR"/>
        </w:rPr>
        <w:t>, décision précitée, § 47</w:t>
      </w:r>
      <w:r>
        <w:rPr>
          <w:rStyle w:val="s6b621b36"/>
          <w:lang w:val="fr-FR"/>
        </w:rPr>
        <w:t xml:space="preserve">, et </w:t>
      </w:r>
      <w:r w:rsidRPr="00350508">
        <w:rPr>
          <w:rStyle w:val="sb8d990e2"/>
          <w:i/>
          <w:lang w:val="fr-FR"/>
        </w:rPr>
        <w:t>Previti</w:t>
      </w:r>
      <w:r w:rsidRPr="00350508">
        <w:rPr>
          <w:rStyle w:val="sb8d990e2"/>
          <w:lang w:val="fr-FR"/>
        </w:rPr>
        <w:t>, décision précitée, §§ 67-68</w:t>
      </w:r>
      <w:r>
        <w:rPr>
          <w:rStyle w:val="s6b621b36"/>
          <w:lang w:val="fr-FR"/>
        </w:rPr>
        <w:t>).</w:t>
      </w:r>
    </w:p>
    <w:p w:rsidR="007A41EB" w:rsidRDefault="007A41EB" w:rsidP="00C940F4">
      <w:pPr>
        <w:ind w:firstLine="284"/>
        <w:rPr>
          <w:rStyle w:val="sb8d990e2"/>
          <w:lang w:val="fr-FR"/>
        </w:rPr>
      </w:pPr>
      <w:r>
        <w:rPr>
          <w:rStyle w:val="sb8d990e2"/>
          <w:lang w:val="fr-FR"/>
        </w:rPr>
        <w:t xml:space="preserve">49.  Pour ce qui est de l’évaluation des preuves à charge et de la décision de la Cour de cassation de confirmer la condamnation au paiement d’acomptes, </w:t>
      </w:r>
      <w:r w:rsidRPr="000D5AF9">
        <w:rPr>
          <w:rStyle w:val="sb8d990e2"/>
          <w:lang w:val="fr-FR"/>
        </w:rPr>
        <w:t>la Cour rappelle qu</w:t>
      </w:r>
      <w:r>
        <w:rPr>
          <w:rStyle w:val="sb8d990e2"/>
          <w:lang w:val="fr-FR"/>
        </w:rPr>
        <w:t>’</w:t>
      </w:r>
      <w:r w:rsidRPr="000D5AF9">
        <w:rPr>
          <w:rStyle w:val="sb8d990e2"/>
          <w:lang w:val="fr-FR"/>
        </w:rPr>
        <w:t>il ne lui appartient pas de connaître des erreurs de fait ou de droit prétendument commises par une juridiction interne, sauf si et dans la mesure où elles pourraient avoir porté atteinte aux droits et libertés sauvegardés par la Convention (</w:t>
      </w:r>
      <w:r w:rsidRPr="00CB7C13">
        <w:rPr>
          <w:rStyle w:val="s6b621b36"/>
          <w:i/>
          <w:lang w:val="fr-FR"/>
        </w:rPr>
        <w:t>Khan c. Royaume-Uni</w:t>
      </w:r>
      <w:r w:rsidRPr="000D5AF9">
        <w:rPr>
          <w:rStyle w:val="sb8d990e2"/>
          <w:lang w:val="fr-FR"/>
        </w:rPr>
        <w:t>, n</w:t>
      </w:r>
      <w:r w:rsidRPr="007C0B2A">
        <w:rPr>
          <w:rStyle w:val="sb8d990e2"/>
          <w:vertAlign w:val="superscript"/>
          <w:lang w:val="fr-FR"/>
        </w:rPr>
        <w:t>o</w:t>
      </w:r>
      <w:r>
        <w:rPr>
          <w:rStyle w:val="sb8d990e2"/>
          <w:lang w:val="fr-FR"/>
        </w:rPr>
        <w:t> 35394/97</w:t>
      </w:r>
      <w:r w:rsidRPr="000D5AF9">
        <w:rPr>
          <w:rStyle w:val="sb8d990e2"/>
          <w:lang w:val="fr-FR"/>
        </w:rPr>
        <w:t>, § 34, CEDH 2000-V), et qu</w:t>
      </w:r>
      <w:r>
        <w:rPr>
          <w:rStyle w:val="sb8d990e2"/>
          <w:lang w:val="fr-FR"/>
        </w:rPr>
        <w:t>’</w:t>
      </w:r>
      <w:r w:rsidRPr="000D5AF9">
        <w:rPr>
          <w:rStyle w:val="sb8d990e2"/>
          <w:lang w:val="fr-FR"/>
        </w:rPr>
        <w:t>il revient en principe aux juridictions nationales d</w:t>
      </w:r>
      <w:r>
        <w:rPr>
          <w:rStyle w:val="sb8d990e2"/>
          <w:lang w:val="fr-FR"/>
        </w:rPr>
        <w:t>’</w:t>
      </w:r>
      <w:r w:rsidRPr="000D5AF9">
        <w:rPr>
          <w:rStyle w:val="sb8d990e2"/>
          <w:lang w:val="fr-FR"/>
        </w:rPr>
        <w:t>apprécier les faits et d</w:t>
      </w:r>
      <w:r>
        <w:rPr>
          <w:rStyle w:val="sb8d990e2"/>
          <w:lang w:val="fr-FR"/>
        </w:rPr>
        <w:t>’</w:t>
      </w:r>
      <w:r w:rsidRPr="000D5AF9">
        <w:rPr>
          <w:rStyle w:val="sb8d990e2"/>
          <w:lang w:val="fr-FR"/>
        </w:rPr>
        <w:t>interpréter et appliquer le droit interne (</w:t>
      </w:r>
      <w:r w:rsidRPr="00CB7C13">
        <w:rPr>
          <w:rStyle w:val="s6b621b36"/>
          <w:i/>
          <w:lang w:val="fr-FR"/>
        </w:rPr>
        <w:t>Pacifico c. Italie</w:t>
      </w:r>
      <w:r>
        <w:rPr>
          <w:rStyle w:val="s6b621b36"/>
          <w:lang w:val="fr-FR"/>
        </w:rPr>
        <w:t xml:space="preserve"> (</w:t>
      </w:r>
      <w:r w:rsidRPr="000D5AF9">
        <w:rPr>
          <w:rStyle w:val="sb8d990e2"/>
          <w:lang w:val="fr-FR"/>
        </w:rPr>
        <w:t>déc</w:t>
      </w:r>
      <w:r>
        <w:rPr>
          <w:rStyle w:val="sb8d990e2"/>
          <w:lang w:val="fr-FR"/>
        </w:rPr>
        <w:t>)</w:t>
      </w:r>
      <w:r w:rsidRPr="000D5AF9">
        <w:rPr>
          <w:rStyle w:val="sb8d990e2"/>
          <w:lang w:val="fr-FR"/>
        </w:rPr>
        <w:t>,</w:t>
      </w:r>
      <w:r>
        <w:rPr>
          <w:rStyle w:val="sb8d990e2"/>
          <w:lang w:val="fr-FR"/>
        </w:rPr>
        <w:t xml:space="preserve"> </w:t>
      </w:r>
      <w:r w:rsidRPr="00CB7C13">
        <w:rPr>
          <w:rStyle w:val="sb8d990e2"/>
          <w:lang w:val="fr-FR"/>
        </w:rPr>
        <w:t>n</w:t>
      </w:r>
      <w:r w:rsidRPr="007C0B2A">
        <w:rPr>
          <w:rStyle w:val="sb8d990e2"/>
          <w:vertAlign w:val="superscript"/>
          <w:lang w:val="fr-FR"/>
        </w:rPr>
        <w:t>o</w:t>
      </w:r>
      <w:r w:rsidRPr="00CB7C13">
        <w:rPr>
          <w:rStyle w:val="sb8d990e2"/>
          <w:lang w:val="fr-FR"/>
        </w:rPr>
        <w:t xml:space="preserve"> </w:t>
      </w:r>
      <w:r>
        <w:rPr>
          <w:rStyle w:val="sb8d990e2"/>
          <w:lang w:val="fr-FR"/>
        </w:rPr>
        <w:t>17995/08</w:t>
      </w:r>
      <w:r w:rsidRPr="00CB7C13">
        <w:rPr>
          <w:rStyle w:val="sb8d990e2"/>
          <w:lang w:val="fr-FR"/>
        </w:rPr>
        <w:t>, § 6</w:t>
      </w:r>
      <w:r>
        <w:rPr>
          <w:rStyle w:val="sb8d990e2"/>
          <w:lang w:val="fr-FR"/>
        </w:rPr>
        <w:t>2</w:t>
      </w:r>
      <w:r w:rsidRPr="00CB7C13">
        <w:rPr>
          <w:rStyle w:val="sb8d990e2"/>
          <w:lang w:val="fr-FR"/>
        </w:rPr>
        <w:t>, 20 novembre 2012</w:t>
      </w:r>
      <w:r>
        <w:rPr>
          <w:rStyle w:val="sb8d990e2"/>
          <w:lang w:val="fr-FR"/>
        </w:rPr>
        <w:t xml:space="preserve">, et </w:t>
      </w:r>
      <w:r>
        <w:rPr>
          <w:rStyle w:val="sb8d990e2"/>
          <w:i/>
          <w:lang w:val="fr-FR"/>
        </w:rPr>
        <w:t xml:space="preserve">Plesic c. Italie </w:t>
      </w:r>
      <w:r>
        <w:rPr>
          <w:rStyle w:val="sb8d990e2"/>
          <w:lang w:val="fr-FR"/>
        </w:rPr>
        <w:t>(déc.), n</w:t>
      </w:r>
      <w:r w:rsidRPr="007C0B2A">
        <w:rPr>
          <w:rStyle w:val="sb8d990e2"/>
          <w:vertAlign w:val="superscript"/>
          <w:lang w:val="fr-FR"/>
        </w:rPr>
        <w:t>o</w:t>
      </w:r>
      <w:r>
        <w:rPr>
          <w:rStyle w:val="sb8d990e2"/>
          <w:lang w:val="fr-FR"/>
        </w:rPr>
        <w:t xml:space="preserve"> 16065/09, § 33, </w:t>
      </w:r>
      <w:r w:rsidRPr="00CB7C13">
        <w:rPr>
          <w:rStyle w:val="sb8d990e2"/>
          <w:lang w:val="fr-FR"/>
        </w:rPr>
        <w:t>2 juillet 2013</w:t>
      </w:r>
      <w:r w:rsidRPr="000D5AF9">
        <w:rPr>
          <w:rStyle w:val="sb8d990e2"/>
          <w:lang w:val="fr-FR"/>
        </w:rPr>
        <w:t>).</w:t>
      </w:r>
      <w:r>
        <w:rPr>
          <w:rStyle w:val="sb8d990e2"/>
          <w:lang w:val="fr-FR"/>
        </w:rPr>
        <w:t xml:space="preserve"> Eu égard aux éléments du dossier, la Cour ne discerne aucune apparence de violation de l’article 6 de la Convention résultant du fait des erreurs prétendument commises par les juridictions internes.</w:t>
      </w:r>
    </w:p>
    <w:p w:rsidR="007A41EB" w:rsidRPr="00CB7C13" w:rsidRDefault="007A41EB" w:rsidP="00C940F4">
      <w:pPr>
        <w:pStyle w:val="ECHRPara"/>
        <w:rPr>
          <w:lang w:val="fr-FR"/>
        </w:rPr>
      </w:pPr>
      <w:r>
        <w:rPr>
          <w:lang w:val="fr-FR"/>
        </w:rPr>
        <w:t>50.  </w:t>
      </w:r>
      <w:r w:rsidRPr="00CB7C13">
        <w:rPr>
          <w:snapToGrid w:val="0"/>
          <w:lang w:val="fr-FR"/>
        </w:rPr>
        <w:t>Il s</w:t>
      </w:r>
      <w:r>
        <w:rPr>
          <w:snapToGrid w:val="0"/>
          <w:lang w:val="fr-FR"/>
        </w:rPr>
        <w:t>’</w:t>
      </w:r>
      <w:r w:rsidRPr="00CB7C13">
        <w:rPr>
          <w:snapToGrid w:val="0"/>
          <w:lang w:val="fr-FR"/>
        </w:rPr>
        <w:t xml:space="preserve">ensuit que ce grief est manifestement mal fondé et </w:t>
      </w:r>
      <w:r>
        <w:rPr>
          <w:snapToGrid w:val="0"/>
          <w:lang w:val="fr-FR"/>
        </w:rPr>
        <w:t xml:space="preserve">qu’il </w:t>
      </w:r>
      <w:r w:rsidRPr="00CB7C13">
        <w:rPr>
          <w:snapToGrid w:val="0"/>
          <w:lang w:val="fr-FR"/>
        </w:rPr>
        <w:t>doit être rejeté</w:t>
      </w:r>
      <w:r>
        <w:rPr>
          <w:snapToGrid w:val="0"/>
          <w:lang w:val="fr-FR"/>
        </w:rPr>
        <w:t>,</w:t>
      </w:r>
      <w:r w:rsidRPr="00CB7C13">
        <w:rPr>
          <w:snapToGrid w:val="0"/>
          <w:lang w:val="fr-FR"/>
        </w:rPr>
        <w:t xml:space="preserve"> en application de l</w:t>
      </w:r>
      <w:r>
        <w:rPr>
          <w:snapToGrid w:val="0"/>
          <w:lang w:val="fr-FR"/>
        </w:rPr>
        <w:t>’</w:t>
      </w:r>
      <w:r w:rsidRPr="00CB7C13">
        <w:rPr>
          <w:snapToGrid w:val="0"/>
          <w:lang w:val="fr-FR"/>
        </w:rPr>
        <w:t>article 35 §§ 3 </w:t>
      </w:r>
      <w:r w:rsidRPr="00CB7C13">
        <w:rPr>
          <w:lang w:val="fr-FR"/>
        </w:rPr>
        <w:t xml:space="preserve">a) </w:t>
      </w:r>
      <w:r w:rsidRPr="00CB7C13">
        <w:rPr>
          <w:snapToGrid w:val="0"/>
          <w:lang w:val="fr-FR"/>
        </w:rPr>
        <w:t>et 4 de la Convention.</w:t>
      </w:r>
    </w:p>
    <w:p w:rsidR="007A41EB" w:rsidRDefault="007A41EB" w:rsidP="00C940F4">
      <w:pPr>
        <w:pStyle w:val="ECHRHeading3"/>
        <w:rPr>
          <w:lang w:val="fr-FR"/>
        </w:rPr>
      </w:pPr>
      <w:r>
        <w:rPr>
          <w:lang w:val="fr-FR"/>
        </w:rPr>
        <w:t>2.  Doléances relatives à un manque d’impartialité des juridictions internes</w:t>
      </w:r>
    </w:p>
    <w:p w:rsidR="007A41EB" w:rsidRDefault="007A41EB" w:rsidP="00C940F4">
      <w:pPr>
        <w:pStyle w:val="ECHRPara"/>
        <w:rPr>
          <w:lang w:val="fr-FR"/>
        </w:rPr>
      </w:pPr>
      <w:bookmarkStart w:id="10" w:name="influenceepouse"/>
      <w:r>
        <w:rPr>
          <w:lang w:val="fr-FR"/>
        </w:rPr>
        <w:t>51</w:t>
      </w:r>
      <w:bookmarkEnd w:id="10"/>
      <w:r>
        <w:rPr>
          <w:lang w:val="fr-FR"/>
        </w:rPr>
        <w:t>.  Le requérant fait observer que son épouse, M</w:t>
      </w:r>
      <w:r w:rsidRPr="00E764FD">
        <w:rPr>
          <w:vertAlign w:val="superscript"/>
          <w:lang w:val="fr-FR"/>
        </w:rPr>
        <w:t>me</w:t>
      </w:r>
      <w:r>
        <w:rPr>
          <w:lang w:val="fr-FR"/>
        </w:rPr>
        <w:t xml:space="preserve"> S., était un magistrat du tribunal d’application des peines de Gênes</w:t>
      </w:r>
      <w:r w:rsidRPr="005F338C">
        <w:rPr>
          <w:lang w:val="fr-FR"/>
        </w:rPr>
        <w:t xml:space="preserve"> </w:t>
      </w:r>
      <w:r>
        <w:rPr>
          <w:lang w:val="fr-FR"/>
        </w:rPr>
        <w:t xml:space="preserve">à l’époque des procès de première et deuxième instance. Il considère que cette circonstance lui aurait porté préjudice, indiquant que son éventuelle relaxe par le tribunal ou la cour d’appel de Gênes aurait pu être interprétée comme un traitement de faveur. Afin d’étayer ses allégations, le requérant déclare qu’une procédure civile avait été entamée devant le tribunal de Turin contre son épouse, afin de faire déclarer qu’une vente immobilière avait été simulée, et que, puisqu’elle avait obtenu gain de cause en première et deuxième instance, la partie adverse avait avancé </w:t>
      </w:r>
      <w:r w:rsidRPr="00AE6E1A">
        <w:rPr>
          <w:lang w:val="fr-FR"/>
        </w:rPr>
        <w:t xml:space="preserve">dans son pourvoi en cassation </w:t>
      </w:r>
      <w:r>
        <w:rPr>
          <w:lang w:val="fr-FR"/>
        </w:rPr>
        <w:t>des doutes quant à l’impartialité des juridictions turinoises et à la capacité de son épouse à les influencer. Le requérant précise qu’il avait demandé la délocalisation de son procès pour ces raisons mais que sa demande avait été rejetée.</w:t>
      </w:r>
    </w:p>
    <w:p w:rsidR="007A41EB" w:rsidRDefault="007A41EB" w:rsidP="00C940F4">
      <w:pPr>
        <w:pStyle w:val="ECHRPara"/>
        <w:rPr>
          <w:lang w:val="fr-FR"/>
        </w:rPr>
      </w:pPr>
      <w:r>
        <w:rPr>
          <w:lang w:val="fr-FR"/>
        </w:rPr>
        <w:t xml:space="preserve">52.  Le requérant estime en outre qu’un manque d’impartialité peut être déduit de la violation, alléguée par lui, de ses droits garantis par les articles 6 § 3 d) et 7 de la Convention par </w:t>
      </w:r>
      <w:r w:rsidRPr="005130E3">
        <w:rPr>
          <w:lang w:val="fr-FR"/>
        </w:rPr>
        <w:t>les juridictions nationales</w:t>
      </w:r>
      <w:r>
        <w:rPr>
          <w:lang w:val="fr-FR"/>
        </w:rPr>
        <w:t>.</w:t>
      </w:r>
    </w:p>
    <w:p w:rsidR="007A41EB" w:rsidRDefault="007A41EB" w:rsidP="00C940F4">
      <w:pPr>
        <w:pStyle w:val="ECHRPara"/>
        <w:rPr>
          <w:rStyle w:val="sb8d990e2"/>
          <w:lang w:val="fr-FR"/>
        </w:rPr>
      </w:pPr>
      <w:r>
        <w:rPr>
          <w:lang w:val="fr-FR"/>
        </w:rPr>
        <w:t>53.  </w:t>
      </w:r>
      <w:r>
        <w:rPr>
          <w:rStyle w:val="sb8d990e2"/>
          <w:lang w:val="fr-FR"/>
        </w:rPr>
        <w:t>S’agissant des</w:t>
      </w:r>
      <w:r w:rsidRPr="00263EEB">
        <w:rPr>
          <w:rStyle w:val="sb8d990e2"/>
          <w:lang w:val="fr-FR"/>
        </w:rPr>
        <w:t xml:space="preserve"> principes généraux concernant les </w:t>
      </w:r>
      <w:r>
        <w:rPr>
          <w:rStyle w:val="sb8d990e2"/>
          <w:lang w:val="fr-FR"/>
        </w:rPr>
        <w:t>critères</w:t>
      </w:r>
      <w:r w:rsidRPr="00263EEB">
        <w:rPr>
          <w:rStyle w:val="sb8d990e2"/>
          <w:lang w:val="fr-FR"/>
        </w:rPr>
        <w:t xml:space="preserve"> </w:t>
      </w:r>
      <w:r>
        <w:rPr>
          <w:rStyle w:val="sb8d990e2"/>
          <w:lang w:val="fr-FR"/>
        </w:rPr>
        <w:t>permettant d’apprécier</w:t>
      </w:r>
      <w:r w:rsidRPr="00263EEB">
        <w:rPr>
          <w:rStyle w:val="sb8d990e2"/>
          <w:lang w:val="fr-FR"/>
        </w:rPr>
        <w:t xml:space="preserve"> l</w:t>
      </w:r>
      <w:r>
        <w:rPr>
          <w:rStyle w:val="sb8d990e2"/>
          <w:lang w:val="fr-FR"/>
        </w:rPr>
        <w:t>’</w:t>
      </w:r>
      <w:r w:rsidRPr="00263EEB">
        <w:rPr>
          <w:rStyle w:val="sb8d990e2"/>
          <w:lang w:val="fr-FR"/>
        </w:rPr>
        <w:t>impartialité d</w:t>
      </w:r>
      <w:r>
        <w:rPr>
          <w:rStyle w:val="sb8d990e2"/>
          <w:lang w:val="fr-FR"/>
        </w:rPr>
        <w:t>’</w:t>
      </w:r>
      <w:r w:rsidRPr="00263EEB">
        <w:rPr>
          <w:rStyle w:val="sb8d990e2"/>
          <w:lang w:val="fr-FR"/>
        </w:rPr>
        <w:t>un tribunal</w:t>
      </w:r>
      <w:r>
        <w:rPr>
          <w:rStyle w:val="sb8d990e2"/>
          <w:lang w:val="fr-FR"/>
        </w:rPr>
        <w:t>, la Cour rappelle qu’ils</w:t>
      </w:r>
      <w:r w:rsidRPr="00263EEB">
        <w:rPr>
          <w:rStyle w:val="sb8d990e2"/>
          <w:lang w:val="fr-FR"/>
        </w:rPr>
        <w:t xml:space="preserve"> sont exposés, entre autres, dans les arrêts suivants : </w:t>
      </w:r>
      <w:r w:rsidRPr="00C940F4">
        <w:rPr>
          <w:i/>
          <w:lang w:val="fr-FR"/>
        </w:rPr>
        <w:t>Kyprianou c. Chypre</w:t>
      </w:r>
      <w:r>
        <w:rPr>
          <w:lang w:val="fr-FR"/>
        </w:rPr>
        <w:t xml:space="preserve"> [GC], n</w:t>
      </w:r>
      <w:r w:rsidRPr="007C0B2A">
        <w:rPr>
          <w:vertAlign w:val="superscript"/>
          <w:lang w:val="fr-FR"/>
        </w:rPr>
        <w:t>o</w:t>
      </w:r>
      <w:r>
        <w:rPr>
          <w:lang w:val="fr-FR"/>
        </w:rPr>
        <w:t> </w:t>
      </w:r>
      <w:r w:rsidRPr="00C940F4">
        <w:rPr>
          <w:rStyle w:val="textcolumn"/>
          <w:lang w:val="fr-FR"/>
        </w:rPr>
        <w:t>73797/01</w:t>
      </w:r>
      <w:r>
        <w:rPr>
          <w:rStyle w:val="textcolumn"/>
          <w:lang w:val="fr-FR"/>
        </w:rPr>
        <w:t>,</w:t>
      </w:r>
      <w:r>
        <w:rPr>
          <w:lang w:val="fr-FR"/>
        </w:rPr>
        <w:t xml:space="preserve"> §§ 118-121, CEDH 2005-XIII ; </w:t>
      </w:r>
      <w:r w:rsidRPr="00C940F4">
        <w:rPr>
          <w:i/>
          <w:lang w:val="fr-FR"/>
        </w:rPr>
        <w:t>Lindon, Otchakovsky-Laurens et July c. France</w:t>
      </w:r>
      <w:r>
        <w:rPr>
          <w:lang w:val="fr-FR"/>
        </w:rPr>
        <w:t xml:space="preserve"> [GC], n</w:t>
      </w:r>
      <w:r w:rsidRPr="00C940F4">
        <w:rPr>
          <w:vertAlign w:val="superscript"/>
          <w:lang w:val="fr-FR"/>
        </w:rPr>
        <w:t>os</w:t>
      </w:r>
      <w:r>
        <w:rPr>
          <w:lang w:val="fr-FR"/>
        </w:rPr>
        <w:t xml:space="preserve"> </w:t>
      </w:r>
      <w:r w:rsidRPr="00C940F4">
        <w:rPr>
          <w:rStyle w:val="textcolumn"/>
          <w:lang w:val="fr-FR"/>
        </w:rPr>
        <w:t>21279/02</w:t>
      </w:r>
      <w:r>
        <w:rPr>
          <w:rStyle w:val="textcolumn"/>
          <w:lang w:val="fr-FR"/>
        </w:rPr>
        <w:t xml:space="preserve"> et</w:t>
      </w:r>
      <w:r w:rsidRPr="00C940F4">
        <w:rPr>
          <w:rStyle w:val="textcolumn"/>
          <w:lang w:val="fr-FR"/>
        </w:rPr>
        <w:t xml:space="preserve"> 36448/02</w:t>
      </w:r>
      <w:r>
        <w:rPr>
          <w:rStyle w:val="textcolumn"/>
          <w:lang w:val="fr-FR"/>
        </w:rPr>
        <w:t xml:space="preserve">, §§ 75-77, CEDH 2007-IV ; </w:t>
      </w:r>
      <w:r w:rsidRPr="00C940F4">
        <w:rPr>
          <w:i/>
          <w:lang w:val="fr-FR"/>
        </w:rPr>
        <w:t>Micallef c. Malte</w:t>
      </w:r>
      <w:r>
        <w:rPr>
          <w:lang w:val="fr-FR"/>
        </w:rPr>
        <w:t xml:space="preserve"> [GC], n</w:t>
      </w:r>
      <w:r w:rsidRPr="007C0B2A">
        <w:rPr>
          <w:vertAlign w:val="superscript"/>
          <w:lang w:val="fr-FR"/>
        </w:rPr>
        <w:t>o</w:t>
      </w:r>
      <w:r>
        <w:rPr>
          <w:lang w:val="fr-FR"/>
        </w:rPr>
        <w:t xml:space="preserve"> </w:t>
      </w:r>
      <w:r w:rsidRPr="00C940F4">
        <w:rPr>
          <w:rStyle w:val="textcolumn"/>
          <w:lang w:val="fr-FR"/>
        </w:rPr>
        <w:t>17056/06</w:t>
      </w:r>
      <w:r>
        <w:rPr>
          <w:lang w:val="fr-FR"/>
        </w:rPr>
        <w:t xml:space="preserve">, §§ 93-99, CEDH 2009 ; </w:t>
      </w:r>
      <w:r w:rsidRPr="00C940F4">
        <w:rPr>
          <w:i/>
          <w:lang w:val="fr-FR"/>
        </w:rPr>
        <w:t>Marguš c. Croatie</w:t>
      </w:r>
      <w:r>
        <w:rPr>
          <w:i/>
          <w:lang w:val="fr-FR"/>
        </w:rPr>
        <w:t xml:space="preserve"> </w:t>
      </w:r>
      <w:r>
        <w:rPr>
          <w:lang w:val="fr-FR"/>
        </w:rPr>
        <w:t>[GC], n</w:t>
      </w:r>
      <w:r w:rsidRPr="007C0B2A">
        <w:rPr>
          <w:vertAlign w:val="superscript"/>
          <w:lang w:val="fr-FR"/>
        </w:rPr>
        <w:t>o</w:t>
      </w:r>
      <w:r>
        <w:rPr>
          <w:lang w:val="fr-FR"/>
        </w:rPr>
        <w:t xml:space="preserve"> </w:t>
      </w:r>
      <w:r w:rsidRPr="00C940F4">
        <w:rPr>
          <w:rStyle w:val="textcolumn"/>
          <w:lang w:val="fr-FR"/>
        </w:rPr>
        <w:t>4455/10</w:t>
      </w:r>
      <w:r>
        <w:rPr>
          <w:lang w:val="fr-FR"/>
        </w:rPr>
        <w:t>, § 84, CEDH 2014.</w:t>
      </w:r>
      <w:r w:rsidRPr="00263EEB">
        <w:rPr>
          <w:rStyle w:val="sb8d990e2"/>
          <w:lang w:val="fr-FR"/>
        </w:rPr>
        <w:t>.</w:t>
      </w:r>
    </w:p>
    <w:p w:rsidR="007A41EB" w:rsidRDefault="007A41EB" w:rsidP="00C940F4">
      <w:pPr>
        <w:pStyle w:val="ECHRPara"/>
        <w:rPr>
          <w:rStyle w:val="sb8d990e2"/>
          <w:lang w:val="fr-FR"/>
        </w:rPr>
      </w:pPr>
      <w:r>
        <w:rPr>
          <w:rStyle w:val="sb8d990e2"/>
          <w:lang w:val="fr-FR"/>
        </w:rPr>
        <w:t>54.  </w:t>
      </w:r>
      <w:r w:rsidRPr="00263EEB">
        <w:rPr>
          <w:rStyle w:val="sb8d990e2"/>
          <w:lang w:val="fr-FR"/>
        </w:rPr>
        <w:t>En ce qui concerne l</w:t>
      </w:r>
      <w:r>
        <w:rPr>
          <w:rStyle w:val="sb8d990e2"/>
          <w:lang w:val="fr-FR"/>
        </w:rPr>
        <w:t>’</w:t>
      </w:r>
      <w:r w:rsidRPr="00263EEB">
        <w:rPr>
          <w:rStyle w:val="sb8d990e2"/>
          <w:lang w:val="fr-FR"/>
        </w:rPr>
        <w:t>aspect subjectif de l</w:t>
      </w:r>
      <w:r>
        <w:rPr>
          <w:rStyle w:val="sb8d990e2"/>
          <w:lang w:val="fr-FR"/>
        </w:rPr>
        <w:t>’</w:t>
      </w:r>
      <w:r w:rsidRPr="00263EEB">
        <w:rPr>
          <w:rStyle w:val="sb8d990e2"/>
          <w:lang w:val="fr-FR"/>
        </w:rPr>
        <w:t>impartialité du tribunal, la Cour constate que rien n</w:t>
      </w:r>
      <w:r>
        <w:rPr>
          <w:rStyle w:val="sb8d990e2"/>
          <w:lang w:val="fr-FR"/>
        </w:rPr>
        <w:t>’</w:t>
      </w:r>
      <w:r w:rsidRPr="00263EEB">
        <w:rPr>
          <w:rStyle w:val="sb8d990e2"/>
          <w:lang w:val="fr-FR"/>
        </w:rPr>
        <w:t>indique en l</w:t>
      </w:r>
      <w:r>
        <w:rPr>
          <w:rStyle w:val="sb8d990e2"/>
          <w:lang w:val="fr-FR"/>
        </w:rPr>
        <w:t>’</w:t>
      </w:r>
      <w:r w:rsidRPr="00263EEB">
        <w:rPr>
          <w:rStyle w:val="sb8d990e2"/>
          <w:lang w:val="fr-FR"/>
        </w:rPr>
        <w:t xml:space="preserve">espèce un quelconque préjugé ou parti pris de la part des juges </w:t>
      </w:r>
      <w:r>
        <w:rPr>
          <w:rStyle w:val="sb8d990e2"/>
          <w:lang w:val="fr-FR"/>
        </w:rPr>
        <w:t>du tribunal ou de la cour d’appel de Gênes</w:t>
      </w:r>
      <w:r w:rsidRPr="00263EEB">
        <w:rPr>
          <w:rStyle w:val="sb8d990e2"/>
          <w:lang w:val="fr-FR"/>
        </w:rPr>
        <w:t>. Le fait qu</w:t>
      </w:r>
      <w:r>
        <w:rPr>
          <w:rStyle w:val="sb8d990e2"/>
          <w:lang w:val="fr-FR"/>
        </w:rPr>
        <w:t>’</w:t>
      </w:r>
      <w:r w:rsidRPr="00263EEB">
        <w:rPr>
          <w:rStyle w:val="sb8d990e2"/>
          <w:lang w:val="fr-FR"/>
        </w:rPr>
        <w:t>ils aient pris des décisions défavorables au requérant ne saurait à lui seul mettre en doute leur impartialité. La Cour</w:t>
      </w:r>
      <w:r>
        <w:rPr>
          <w:rStyle w:val="sb8d990e2"/>
          <w:lang w:val="fr-FR"/>
        </w:rPr>
        <w:t>, qui vient par ailleurs de conclure au défaut manifeste de fondement des griefs tirés des articles 6 § 3 d) et 7 de la Convention,</w:t>
      </w:r>
      <w:r w:rsidRPr="00263EEB">
        <w:rPr>
          <w:rStyle w:val="sb8d990e2"/>
          <w:lang w:val="fr-FR"/>
        </w:rPr>
        <w:t xml:space="preserve"> ne peut que présumer l</w:t>
      </w:r>
      <w:r>
        <w:rPr>
          <w:rStyle w:val="sb8d990e2"/>
          <w:lang w:val="fr-FR"/>
        </w:rPr>
        <w:t>’</w:t>
      </w:r>
      <w:r w:rsidRPr="00263EEB">
        <w:rPr>
          <w:rStyle w:val="sb8d990e2"/>
          <w:lang w:val="fr-FR"/>
        </w:rPr>
        <w:t>impartialité personnelle de ces magistrats</w:t>
      </w:r>
      <w:r>
        <w:rPr>
          <w:rStyle w:val="sb8d990e2"/>
          <w:lang w:val="fr-FR"/>
        </w:rPr>
        <w:t xml:space="preserve"> (voir, </w:t>
      </w:r>
      <w:r>
        <w:rPr>
          <w:rStyle w:val="sb8d990e2"/>
          <w:i/>
          <w:lang w:val="fr-FR"/>
        </w:rPr>
        <w:t>mutatis mutandis</w:t>
      </w:r>
      <w:r>
        <w:rPr>
          <w:rStyle w:val="sb8d990e2"/>
          <w:lang w:val="fr-FR"/>
        </w:rPr>
        <w:t xml:space="preserve">, </w:t>
      </w:r>
      <w:r>
        <w:rPr>
          <w:rStyle w:val="sb8d990e2"/>
          <w:i/>
          <w:lang w:val="fr-FR"/>
        </w:rPr>
        <w:t>Previti (n</w:t>
      </w:r>
      <w:r w:rsidRPr="007C0B2A">
        <w:rPr>
          <w:rStyle w:val="sb8d990e2"/>
          <w:i/>
          <w:vertAlign w:val="superscript"/>
          <w:lang w:val="fr-FR"/>
        </w:rPr>
        <w:t>o</w:t>
      </w:r>
      <w:r>
        <w:rPr>
          <w:rStyle w:val="sb8d990e2"/>
          <w:i/>
          <w:lang w:val="fr-FR"/>
        </w:rPr>
        <w:t xml:space="preserve"> 4)</w:t>
      </w:r>
      <w:r>
        <w:rPr>
          <w:rStyle w:val="sb8d990e2"/>
          <w:lang w:val="fr-FR"/>
        </w:rPr>
        <w:t>, décision précitée, § 53)</w:t>
      </w:r>
      <w:r w:rsidRPr="00263EEB">
        <w:rPr>
          <w:rStyle w:val="sb8d990e2"/>
          <w:lang w:val="fr-FR"/>
        </w:rPr>
        <w:t>.</w:t>
      </w:r>
    </w:p>
    <w:p w:rsidR="007A41EB" w:rsidRDefault="007A41EB" w:rsidP="00C940F4">
      <w:pPr>
        <w:pStyle w:val="ECHRPara"/>
        <w:rPr>
          <w:rStyle w:val="sb8d990e2"/>
          <w:lang w:val="fr-FR"/>
        </w:rPr>
      </w:pPr>
      <w:r>
        <w:rPr>
          <w:rStyle w:val="sb8d990e2"/>
          <w:lang w:val="fr-FR"/>
        </w:rPr>
        <w:t xml:space="preserve">55.  Pour la Cour, il reste à déterminer si la position de l’épouse du requérant, qui était juge près le tribunal d’application des peines de Gênes </w:t>
      </w:r>
      <w:r w:rsidRPr="00833BE9">
        <w:rPr>
          <w:lang w:val="fr-FR"/>
        </w:rPr>
        <w:t>à l</w:t>
      </w:r>
      <w:r>
        <w:rPr>
          <w:lang w:val="fr-FR"/>
        </w:rPr>
        <w:t>’</w:t>
      </w:r>
      <w:r w:rsidRPr="00833BE9">
        <w:rPr>
          <w:lang w:val="fr-FR"/>
        </w:rPr>
        <w:t>époque des procès de première et deuxième instance</w:t>
      </w:r>
      <w:r>
        <w:rPr>
          <w:lang w:val="fr-FR"/>
        </w:rPr>
        <w:t>,</w:t>
      </w:r>
      <w:r w:rsidRPr="00833BE9">
        <w:rPr>
          <w:lang w:val="fr-FR"/>
        </w:rPr>
        <w:t xml:space="preserve"> </w:t>
      </w:r>
      <w:r>
        <w:rPr>
          <w:rStyle w:val="sb8d990e2"/>
          <w:lang w:val="fr-FR"/>
        </w:rPr>
        <w:t>était de nature à soulever des doutes objectivement justifiés quant à l’impartialité des juridictions de cette même ville.</w:t>
      </w:r>
    </w:p>
    <w:p w:rsidR="007A41EB" w:rsidRDefault="007A41EB" w:rsidP="00C940F4">
      <w:pPr>
        <w:pStyle w:val="ECHRPara"/>
        <w:rPr>
          <w:lang w:val="fr-FR"/>
        </w:rPr>
      </w:pPr>
      <w:r>
        <w:rPr>
          <w:rStyle w:val="sb8d990e2"/>
          <w:lang w:val="fr-FR"/>
        </w:rPr>
        <w:t xml:space="preserve">56.  À cet égard, la Cour rappelle que dans l’affaire </w:t>
      </w:r>
      <w:r w:rsidRPr="005D09B3">
        <w:rPr>
          <w:i/>
          <w:lang w:val="fr-FR"/>
        </w:rPr>
        <w:t>Hajdučeková c. Slovaquie</w:t>
      </w:r>
      <w:r w:rsidRPr="005D09B3">
        <w:rPr>
          <w:lang w:val="fr-FR"/>
        </w:rPr>
        <w:t xml:space="preserve"> </w:t>
      </w:r>
      <w:r>
        <w:rPr>
          <w:lang w:val="fr-FR"/>
        </w:rPr>
        <w:t>((déc.),</w:t>
      </w:r>
      <w:r w:rsidRPr="005D09B3">
        <w:rPr>
          <w:lang w:val="fr-FR"/>
        </w:rPr>
        <w:t xml:space="preserve"> n</w:t>
      </w:r>
      <w:r w:rsidRPr="007C0B2A">
        <w:rPr>
          <w:vertAlign w:val="superscript"/>
          <w:lang w:val="fr-FR"/>
        </w:rPr>
        <w:t>o</w:t>
      </w:r>
      <w:r>
        <w:rPr>
          <w:lang w:val="fr-FR"/>
        </w:rPr>
        <w:t> </w:t>
      </w:r>
      <w:r w:rsidRPr="005D09B3">
        <w:rPr>
          <w:lang w:val="fr-FR"/>
        </w:rPr>
        <w:t>47806/99</w:t>
      </w:r>
      <w:r>
        <w:rPr>
          <w:lang w:val="fr-FR"/>
        </w:rPr>
        <w:t xml:space="preserve">, </w:t>
      </w:r>
      <w:r w:rsidRPr="005D09B3">
        <w:rPr>
          <w:lang w:val="fr-FR"/>
        </w:rPr>
        <w:t>8 o</w:t>
      </w:r>
      <w:r>
        <w:rPr>
          <w:lang w:val="fr-FR"/>
        </w:rPr>
        <w:t>c</w:t>
      </w:r>
      <w:r w:rsidRPr="005D09B3">
        <w:rPr>
          <w:lang w:val="fr-FR"/>
        </w:rPr>
        <w:t>tobre 2002</w:t>
      </w:r>
      <w:r>
        <w:rPr>
          <w:lang w:val="fr-FR"/>
        </w:rPr>
        <w:t>) elle a rejeté pour défaut manifeste de fondement une doléance de la requérante tirée du fait que les juges du tribunal régional de Košice étaient « collègues » de son ex-mari, qui était membre du parquet de la même ville. Elle a souligné que la circonstance que l’ex-mari de la requérante ait pu agir en tant que représentant du parquet dans différentes procédures judiciaires devant le tribunal de Košice ne justifiait pas les doutes de la requérante.</w:t>
      </w:r>
    </w:p>
    <w:p w:rsidR="007A41EB" w:rsidRDefault="007A41EB" w:rsidP="00C940F4">
      <w:pPr>
        <w:pStyle w:val="ECHRPara"/>
        <w:rPr>
          <w:rStyle w:val="sb8d990e2"/>
          <w:lang w:val="fr-FR"/>
        </w:rPr>
      </w:pPr>
      <w:r>
        <w:rPr>
          <w:rStyle w:val="sb8d990e2"/>
          <w:lang w:val="fr-FR"/>
        </w:rPr>
        <w:t xml:space="preserve">57.  La Cour ne peut que parvenir, et à plus forte raison, à des conclusions analogues en la présente espèce. Elle observe que l’affaire </w:t>
      </w:r>
      <w:r w:rsidRPr="005D09B3">
        <w:rPr>
          <w:i/>
          <w:lang w:val="fr-FR"/>
        </w:rPr>
        <w:t>Hajdučeková</w:t>
      </w:r>
      <w:r>
        <w:rPr>
          <w:i/>
          <w:lang w:val="fr-FR"/>
        </w:rPr>
        <w:t xml:space="preserve"> </w:t>
      </w:r>
      <w:r w:rsidRPr="006F106B">
        <w:rPr>
          <w:lang w:val="fr-FR"/>
        </w:rPr>
        <w:t>(précitée)</w:t>
      </w:r>
      <w:r>
        <w:rPr>
          <w:i/>
          <w:lang w:val="fr-FR"/>
        </w:rPr>
        <w:t xml:space="preserve"> </w:t>
      </w:r>
      <w:r>
        <w:rPr>
          <w:lang w:val="fr-FR"/>
        </w:rPr>
        <w:t>concernait un différend qui opposait la requérante à son ex-mari, alors que la présente affaire a pour objet un procès pénal dans le cadre duquel l’épouse du requérant n’a joué aucun rôle. En effet, r</w:t>
      </w:r>
      <w:r>
        <w:rPr>
          <w:bCs/>
          <w:lang w:val="fr-FR"/>
        </w:rPr>
        <w:t>ien ne prouve que M</w:t>
      </w:r>
      <w:r w:rsidRPr="00E7450A">
        <w:rPr>
          <w:bCs/>
          <w:vertAlign w:val="superscript"/>
          <w:lang w:val="fr-FR"/>
        </w:rPr>
        <w:t>me</w:t>
      </w:r>
      <w:r>
        <w:rPr>
          <w:bCs/>
          <w:lang w:val="fr-FR"/>
        </w:rPr>
        <w:t> S. ait été d’une quelque manière que ce soit impliquée dans ce procès ou que les juges du fond aient eu des contacts avec elle.</w:t>
      </w:r>
      <w:r>
        <w:rPr>
          <w:lang w:val="fr-FR"/>
        </w:rPr>
        <w:t xml:space="preserve"> L’assertion du requérant selon laquelle les juges appelés à se prononcer sur son affaire auraient évité de prononcer un acquittement par crainte d’être accusés d’avoir été influencés par M</w:t>
      </w:r>
      <w:r w:rsidRPr="00A63E32">
        <w:rPr>
          <w:vertAlign w:val="superscript"/>
          <w:lang w:val="fr-FR"/>
        </w:rPr>
        <w:t>me</w:t>
      </w:r>
      <w:r>
        <w:rPr>
          <w:lang w:val="fr-FR"/>
        </w:rPr>
        <w:t xml:space="preserve"> S. (paragraphe 51 ci-dessus) ne repose sur aucune base objective et relève de la pure spéculation. Elle ne saurait donc, en tant que telle et en l’absence de tout autre élément significatif, être prise en considération par la Cour.</w:t>
      </w:r>
    </w:p>
    <w:p w:rsidR="007A41EB" w:rsidRPr="00CB7C13" w:rsidRDefault="007A41EB" w:rsidP="00C940F4">
      <w:pPr>
        <w:pStyle w:val="ECHRPara"/>
        <w:rPr>
          <w:lang w:val="fr-FR"/>
        </w:rPr>
      </w:pPr>
      <w:r>
        <w:rPr>
          <w:rStyle w:val="sb8d990e2"/>
          <w:lang w:val="fr-FR"/>
        </w:rPr>
        <w:t>58.  </w:t>
      </w:r>
      <w:r w:rsidRPr="00CB7C13">
        <w:rPr>
          <w:snapToGrid w:val="0"/>
          <w:lang w:val="fr-FR"/>
        </w:rPr>
        <w:t>Il s</w:t>
      </w:r>
      <w:r>
        <w:rPr>
          <w:snapToGrid w:val="0"/>
          <w:lang w:val="fr-FR"/>
        </w:rPr>
        <w:t>’</w:t>
      </w:r>
      <w:r w:rsidRPr="00CB7C13">
        <w:rPr>
          <w:snapToGrid w:val="0"/>
          <w:lang w:val="fr-FR"/>
        </w:rPr>
        <w:t>ensuit que ce grief est manifestement mal fondé et</w:t>
      </w:r>
      <w:r>
        <w:rPr>
          <w:snapToGrid w:val="0"/>
          <w:lang w:val="fr-FR"/>
        </w:rPr>
        <w:t xml:space="preserve"> qu’il</w:t>
      </w:r>
      <w:r w:rsidRPr="00CB7C13">
        <w:rPr>
          <w:snapToGrid w:val="0"/>
          <w:lang w:val="fr-FR"/>
        </w:rPr>
        <w:t xml:space="preserve"> doit être rejeté</w:t>
      </w:r>
      <w:r>
        <w:rPr>
          <w:snapToGrid w:val="0"/>
          <w:lang w:val="fr-FR"/>
        </w:rPr>
        <w:t>,</w:t>
      </w:r>
      <w:r w:rsidRPr="00CB7C13">
        <w:rPr>
          <w:snapToGrid w:val="0"/>
          <w:lang w:val="fr-FR"/>
        </w:rPr>
        <w:t xml:space="preserve"> en application de l</w:t>
      </w:r>
      <w:r>
        <w:rPr>
          <w:snapToGrid w:val="0"/>
          <w:lang w:val="fr-FR"/>
        </w:rPr>
        <w:t>’</w:t>
      </w:r>
      <w:r w:rsidRPr="00CB7C13">
        <w:rPr>
          <w:snapToGrid w:val="0"/>
          <w:lang w:val="fr-FR"/>
        </w:rPr>
        <w:t>article 35 §§ 3 </w:t>
      </w:r>
      <w:r w:rsidRPr="00CB7C13">
        <w:rPr>
          <w:lang w:val="fr-FR"/>
        </w:rPr>
        <w:t xml:space="preserve">a) </w:t>
      </w:r>
      <w:r w:rsidRPr="00CB7C13">
        <w:rPr>
          <w:snapToGrid w:val="0"/>
          <w:lang w:val="fr-FR"/>
        </w:rPr>
        <w:t>et 4 de la Convention.</w:t>
      </w:r>
    </w:p>
    <w:p w:rsidR="007A41EB" w:rsidRPr="00706345" w:rsidRDefault="007A41EB" w:rsidP="00F8507C">
      <w:pPr>
        <w:pStyle w:val="JuParaLast"/>
        <w:rPr>
          <w:lang w:val="fr-FR"/>
        </w:rPr>
      </w:pPr>
      <w:r w:rsidRPr="00706345">
        <w:rPr>
          <w:lang w:val="fr-FR"/>
        </w:rPr>
        <w:t>Par ces motifs, la Cour, à l</w:t>
      </w:r>
      <w:r>
        <w:rPr>
          <w:lang w:val="fr-FR"/>
        </w:rPr>
        <w:t>’</w:t>
      </w:r>
      <w:r w:rsidRPr="00706345">
        <w:rPr>
          <w:lang w:val="fr-FR"/>
        </w:rPr>
        <w:t>unanimité</w:t>
      </w:r>
      <w:r>
        <w:rPr>
          <w:lang w:val="fr-FR"/>
        </w:rPr>
        <w:t>,</w:t>
      </w:r>
    </w:p>
    <w:p w:rsidR="007A41EB" w:rsidRPr="00706345" w:rsidRDefault="007A41EB" w:rsidP="00F8507C">
      <w:pPr>
        <w:pStyle w:val="DecList"/>
        <w:rPr>
          <w:lang w:val="fr-FR"/>
        </w:rPr>
      </w:pPr>
      <w:r w:rsidRPr="00706345">
        <w:rPr>
          <w:i/>
          <w:lang w:val="fr-FR"/>
        </w:rPr>
        <w:t xml:space="preserve">Déclare </w:t>
      </w:r>
      <w:r w:rsidRPr="00706345">
        <w:rPr>
          <w:lang w:val="fr-FR"/>
        </w:rPr>
        <w:t xml:space="preserve">la </w:t>
      </w:r>
      <w:r w:rsidRPr="00C53E23">
        <w:rPr>
          <w:lang w:val="fr-FR"/>
        </w:rPr>
        <w:t>requête</w:t>
      </w:r>
      <w:r w:rsidRPr="00706345">
        <w:rPr>
          <w:lang w:val="fr-FR"/>
        </w:rPr>
        <w:t xml:space="preserve"> irrecevable.</w:t>
      </w:r>
    </w:p>
    <w:p w:rsidR="007A41EB" w:rsidRPr="00234E8A" w:rsidRDefault="007A41EB" w:rsidP="007C0B2A">
      <w:pPr>
        <w:pStyle w:val="JuSigned"/>
        <w:rPr>
          <w:lang w:val="fr-FR"/>
        </w:rPr>
      </w:pPr>
      <w:r w:rsidRPr="00255866">
        <w:rPr>
          <w:lang w:val="fr-FR"/>
        </w:rPr>
        <w:tab/>
        <w:t>Stanley Naismith</w:t>
      </w:r>
      <w:r w:rsidRPr="00255866">
        <w:rPr>
          <w:lang w:val="fr-FR"/>
        </w:rPr>
        <w:tab/>
        <w:t>Işıl Karakaş</w:t>
      </w:r>
      <w:r w:rsidRPr="00255866">
        <w:rPr>
          <w:lang w:val="fr-FR"/>
        </w:rPr>
        <w:br/>
      </w:r>
      <w:r w:rsidRPr="00255866">
        <w:rPr>
          <w:lang w:val="fr-FR"/>
        </w:rPr>
        <w:tab/>
        <w:t>Greffier</w:t>
      </w:r>
      <w:r w:rsidRPr="00255866">
        <w:rPr>
          <w:lang w:val="fr-FR"/>
        </w:rPr>
        <w:tab/>
        <w:t>Présidente</w:t>
      </w:r>
    </w:p>
    <w:sectPr w:rsidR="007A41EB" w:rsidRPr="00234E8A" w:rsidSect="00AF7102">
      <w:headerReference w:type="even" r:id="rId7"/>
      <w:headerReference w:type="default" r:id="rId8"/>
      <w:headerReference w:type="first" r:id="rId9"/>
      <w:footerReference w:type="first" r:id="rId10"/>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1EB" w:rsidRDefault="007A41EB" w:rsidP="006544C4">
      <w:r>
        <w:separator/>
      </w:r>
    </w:p>
  </w:endnote>
  <w:endnote w:type="continuationSeparator" w:id="0">
    <w:p w:rsidR="007A41EB" w:rsidRDefault="007A41EB" w:rsidP="006544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MS Gothic">
    <w:altName w:val="?l?r ?S?V?b?N"/>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1EB" w:rsidRPr="00150BFA" w:rsidRDefault="007A41EB" w:rsidP="0020718E">
    <w:pPr>
      <w:jc w:val="center"/>
    </w:pPr>
    <w:r w:rsidRPr="000572F6">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i1028" type="#_x0000_t75" style="width:60pt;height:48.75pt;visibility:visible">
          <v:imagedata r:id="rId1" o:title=""/>
        </v:shape>
      </w:pict>
    </w:r>
  </w:p>
  <w:p w:rsidR="007A41EB" w:rsidRPr="00633A19" w:rsidRDefault="007A41EB" w:rsidP="003146E4">
    <w:pPr>
      <w:jc w:val="center"/>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1EB" w:rsidRDefault="007A41EB" w:rsidP="006544C4">
      <w:r>
        <w:separator/>
      </w:r>
    </w:p>
  </w:footnote>
  <w:footnote w:type="continuationSeparator" w:id="0">
    <w:p w:rsidR="007A41EB" w:rsidRDefault="007A41EB" w:rsidP="00654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1EB" w:rsidRPr="000D527F" w:rsidRDefault="007A41EB" w:rsidP="003312A3">
    <w:pPr>
      <w:pStyle w:val="ECHRHeader"/>
      <w:rPr>
        <w:lang w:val="en-GB"/>
      </w:rPr>
    </w:pPr>
    <w:r>
      <w:rPr>
        <w:rStyle w:val="PageNumber"/>
        <w:lang w:val="en-GB"/>
      </w:rPr>
      <w:fldChar w:fldCharType="begin"/>
    </w:r>
    <w:r>
      <w:rPr>
        <w:rStyle w:val="PageNumber"/>
        <w:lang w:val="en-GB"/>
      </w:rPr>
      <w:instrText xml:space="preserve"> PAGE </w:instrText>
    </w:r>
    <w:r>
      <w:rPr>
        <w:rStyle w:val="PageNumber"/>
        <w:lang w:val="en-GB"/>
      </w:rPr>
      <w:fldChar w:fldCharType="separate"/>
    </w:r>
    <w:r>
      <w:rPr>
        <w:rStyle w:val="PageNumber"/>
        <w:noProof/>
        <w:lang w:val="en-GB"/>
      </w:rPr>
      <w:t>2</w:t>
    </w:r>
    <w:r>
      <w:rPr>
        <w:rStyle w:val="PageNumber"/>
        <w:lang w:val="en-GB"/>
      </w:rPr>
      <w:fldChar w:fldCharType="end"/>
    </w:r>
    <w:r w:rsidRPr="000D527F">
      <w:rPr>
        <w:lang w:val="en-GB"/>
      </w:rPr>
      <w:tab/>
      <w:t xml:space="preserve">DÉCISION </w:t>
    </w:r>
    <w:r>
      <w:rPr>
        <w:lang w:val="en-GB"/>
      </w:rPr>
      <w:t>VIANELLO c. ITALIE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1EB" w:rsidRPr="000D527F" w:rsidRDefault="007A41EB" w:rsidP="006544C4">
    <w:pPr>
      <w:pStyle w:val="ECHRHeader"/>
      <w:rPr>
        <w:lang w:val="en-GB"/>
      </w:rPr>
    </w:pPr>
    <w:r>
      <w:tab/>
    </w:r>
    <w:r w:rsidRPr="000D527F">
      <w:rPr>
        <w:lang w:val="en-GB"/>
      </w:rPr>
      <w:t xml:space="preserve">DÉCISION </w:t>
    </w:r>
    <w:r>
      <w:rPr>
        <w:lang w:val="en-GB"/>
      </w:rPr>
      <w:t>VIANELLO c. ITALIE</w:t>
    </w:r>
    <w:r w:rsidRPr="000D527F">
      <w:rPr>
        <w:lang w:val="en-GB"/>
      </w:rPr>
      <w:tab/>
    </w:r>
    <w:r>
      <w:rPr>
        <w:rStyle w:val="PageNumber"/>
        <w:lang w:val="en-GB"/>
      </w:rPr>
      <w:fldChar w:fldCharType="begin"/>
    </w:r>
    <w:r>
      <w:rPr>
        <w:rStyle w:val="PageNumber"/>
        <w:lang w:val="en-GB"/>
      </w:rPr>
      <w:instrText xml:space="preserve"> PAGE </w:instrText>
    </w:r>
    <w:r>
      <w:rPr>
        <w:rStyle w:val="PageNumber"/>
        <w:lang w:val="en-GB"/>
      </w:rPr>
      <w:fldChar w:fldCharType="separate"/>
    </w:r>
    <w:r>
      <w:rPr>
        <w:rStyle w:val="PageNumber"/>
        <w:noProof/>
        <w:lang w:val="en-GB"/>
      </w:rPr>
      <w:t>13</w:t>
    </w:r>
    <w:r>
      <w:rPr>
        <w:rStyle w:val="PageNumber"/>
        <w:lang w:val="en-GB"/>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1EB" w:rsidRPr="00A45145" w:rsidRDefault="007A41EB" w:rsidP="00A45145">
    <w:pPr>
      <w:jc w:val="center"/>
    </w:pPr>
    <w:r w:rsidRPr="000572F6">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i1026" type="#_x0000_t75" style="width:233.25pt;height:96pt;visibility:visible">
          <v:imagedata r:id="rId1" o:title=""/>
        </v:shape>
      </w:pict>
    </w:r>
  </w:p>
  <w:p w:rsidR="007A41EB" w:rsidRDefault="007A41EB" w:rsidP="003146E4">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26C560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784B49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2BEA74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0CE469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BB0CD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15E9F46"/>
    <w:lvl w:ilvl="0">
      <w:start w:val="1"/>
      <w:numFmt w:val="bullet"/>
      <w:lvlText w:val=""/>
      <w:lvlJc w:val="left"/>
      <w:pPr>
        <w:tabs>
          <w:tab w:val="num" w:pos="360"/>
        </w:tabs>
        <w:ind w:left="360" w:hanging="360"/>
      </w:pPr>
      <w:rPr>
        <w:rFonts w:ascii="Symbol" w:hAnsi="Symbol" w:hint="default"/>
      </w:rPr>
    </w:lvl>
  </w:abstractNum>
  <w:abstractNum w:abstractNumId="1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rPr>
    </w:lvl>
    <w:lvl w:ilvl="1">
      <w:start w:val="1"/>
      <w:numFmt w:val="bullet"/>
      <w:lvlText w:val=""/>
      <w:lvlJc w:val="left"/>
      <w:pPr>
        <w:tabs>
          <w:tab w:val="num" w:pos="1134"/>
        </w:tabs>
        <w:ind w:left="1135" w:hanging="284"/>
      </w:pPr>
      <w:rPr>
        <w:rFonts w:ascii="Wingdings" w:hAnsi="Wingdings" w:hint="default"/>
        <w:color w:val="0072BC"/>
      </w:rPr>
    </w:lvl>
    <w:lvl w:ilvl="2">
      <w:start w:val="1"/>
      <w:numFmt w:val="bullet"/>
      <w:lvlText w:val=""/>
      <w:lvlJc w:val="left"/>
      <w:pPr>
        <w:tabs>
          <w:tab w:val="num" w:pos="1418"/>
        </w:tabs>
        <w:ind w:left="1419" w:hanging="284"/>
      </w:pPr>
      <w:rPr>
        <w:rFonts w:ascii="Wingdings" w:hAnsi="Wingdings" w:hint="default"/>
        <w:color w:val="7F7F7F"/>
      </w:rPr>
    </w:lvl>
    <w:lvl w:ilvl="3">
      <w:start w:val="1"/>
      <w:numFmt w:val="bullet"/>
      <w:lvlText w:val=""/>
      <w:lvlJc w:val="left"/>
      <w:pPr>
        <w:tabs>
          <w:tab w:val="num" w:pos="1701"/>
        </w:tabs>
        <w:ind w:left="1703" w:hanging="284"/>
      </w:pPr>
      <w:rPr>
        <w:rFonts w:ascii="Wingdings" w:hAnsi="Wingdings" w:hint="default"/>
        <w:color w:val="7F7F7F"/>
      </w:rPr>
    </w:lvl>
    <w:lvl w:ilvl="4">
      <w:start w:val="1"/>
      <w:numFmt w:val="bullet"/>
      <w:lvlText w:val=""/>
      <w:lvlJc w:val="left"/>
      <w:pPr>
        <w:tabs>
          <w:tab w:val="num" w:pos="1760"/>
        </w:tabs>
        <w:ind w:left="1987" w:hanging="284"/>
      </w:pPr>
      <w:rPr>
        <w:rFonts w:ascii="Wingdings" w:hAnsi="Wingdings" w:hint="default"/>
        <w:color w:val="0072BC"/>
      </w:rPr>
    </w:lvl>
    <w:lvl w:ilvl="5">
      <w:start w:val="1"/>
      <w:numFmt w:val="bullet"/>
      <w:lvlText w:val=""/>
      <w:lvlJc w:val="left"/>
      <w:pPr>
        <w:tabs>
          <w:tab w:val="num" w:pos="2044"/>
        </w:tabs>
        <w:ind w:left="2271" w:hanging="284"/>
      </w:pPr>
      <w:rPr>
        <w:rFonts w:ascii="Wingdings" w:hAnsi="Wingdings" w:hint="default"/>
        <w:color w:val="5F5F5F"/>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0F5865E5"/>
    <w:multiLevelType w:val="multilevel"/>
    <w:tmpl w:val="9B34AC6C"/>
    <w:lvl w:ilvl="0">
      <w:start w:val="1"/>
      <w:numFmt w:val="decimal"/>
      <w:lvlText w:val="%1."/>
      <w:lvlJc w:val="left"/>
      <w:pPr>
        <w:tabs>
          <w:tab w:val="num" w:pos="964"/>
        </w:tabs>
        <w:ind w:left="964" w:hanging="397"/>
      </w:pPr>
      <w:rPr>
        <w:rFonts w:cs="Times New Roman" w:hint="default"/>
      </w:rPr>
    </w:lvl>
    <w:lvl w:ilvl="1">
      <w:start w:val="1"/>
      <w:numFmt w:val="lowerLetter"/>
      <w:lvlText w:val="%2."/>
      <w:lvlJc w:val="left"/>
      <w:pPr>
        <w:tabs>
          <w:tab w:val="num" w:pos="1361"/>
        </w:tabs>
        <w:ind w:left="1361" w:hanging="397"/>
      </w:pPr>
      <w:rPr>
        <w:rFonts w:cs="Times New Roman" w:hint="default"/>
      </w:rPr>
    </w:lvl>
    <w:lvl w:ilvl="2">
      <w:start w:val="1"/>
      <w:numFmt w:val="lowerRoman"/>
      <w:lvlText w:val="%3."/>
      <w:lvlJc w:val="left"/>
      <w:pPr>
        <w:tabs>
          <w:tab w:val="num" w:pos="1758"/>
        </w:tabs>
        <w:ind w:left="1758" w:hanging="397"/>
      </w:pPr>
      <w:rPr>
        <w:rFonts w:cs="Times New Roman" w:hint="default"/>
      </w:rPr>
    </w:lvl>
    <w:lvl w:ilvl="3">
      <w:start w:val="1"/>
      <w:numFmt w:val="decimal"/>
      <w:lvlText w:val="(%4)"/>
      <w:lvlJc w:val="left"/>
      <w:pPr>
        <w:tabs>
          <w:tab w:val="num" w:pos="1703"/>
        </w:tabs>
        <w:ind w:left="1703" w:hanging="284"/>
      </w:pPr>
      <w:rPr>
        <w:rFonts w:cs="Times New Roman" w:hint="default"/>
      </w:rPr>
    </w:lvl>
    <w:lvl w:ilvl="4">
      <w:start w:val="1"/>
      <w:numFmt w:val="lowerLetter"/>
      <w:lvlText w:val="(%5)"/>
      <w:lvlJc w:val="left"/>
      <w:pPr>
        <w:tabs>
          <w:tab w:val="num" w:pos="1987"/>
        </w:tabs>
        <w:ind w:left="1987" w:hanging="284"/>
      </w:pPr>
      <w:rPr>
        <w:rFonts w:cs="Times New Roman" w:hint="default"/>
      </w:rPr>
    </w:lvl>
    <w:lvl w:ilvl="5">
      <w:start w:val="1"/>
      <w:numFmt w:val="lowerRoman"/>
      <w:lvlText w:val="(%6)"/>
      <w:lvlJc w:val="left"/>
      <w:pPr>
        <w:tabs>
          <w:tab w:val="num" w:pos="2271"/>
        </w:tabs>
        <w:ind w:left="2271" w:hanging="284"/>
      </w:pPr>
      <w:rPr>
        <w:rFonts w:cs="Times New Roman" w:hint="default"/>
      </w:rPr>
    </w:lvl>
    <w:lvl w:ilvl="6">
      <w:start w:val="1"/>
      <w:numFmt w:val="decimal"/>
      <w:lvlText w:val="%7."/>
      <w:lvlJc w:val="left"/>
      <w:pPr>
        <w:tabs>
          <w:tab w:val="num" w:pos="2555"/>
        </w:tabs>
        <w:ind w:left="2555" w:hanging="284"/>
      </w:pPr>
      <w:rPr>
        <w:rFonts w:cs="Times New Roman" w:hint="default"/>
      </w:rPr>
    </w:lvl>
    <w:lvl w:ilvl="7">
      <w:start w:val="1"/>
      <w:numFmt w:val="lowerLetter"/>
      <w:lvlText w:val="%8."/>
      <w:lvlJc w:val="left"/>
      <w:pPr>
        <w:tabs>
          <w:tab w:val="num" w:pos="2839"/>
        </w:tabs>
        <w:ind w:left="2839" w:hanging="284"/>
      </w:pPr>
      <w:rPr>
        <w:rFonts w:cs="Times New Roman" w:hint="default"/>
      </w:rPr>
    </w:lvl>
    <w:lvl w:ilvl="8">
      <w:start w:val="1"/>
      <w:numFmt w:val="lowerRoman"/>
      <w:lvlText w:val="%9."/>
      <w:lvlJc w:val="left"/>
      <w:pPr>
        <w:tabs>
          <w:tab w:val="num" w:pos="3123"/>
        </w:tabs>
        <w:ind w:left="3123" w:hanging="284"/>
      </w:pPr>
      <w:rPr>
        <w:rFonts w:cs="Times New Roman" w:hint="default"/>
      </w:rPr>
    </w:lvl>
  </w:abstractNum>
  <w:abstractNum w:abstractNumId="12">
    <w:nsid w:val="0FA31B58"/>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255531E"/>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3C2893"/>
    <w:multiLevelType w:val="multilevel"/>
    <w:tmpl w:val="9B34AC6C"/>
    <w:lvl w:ilvl="0">
      <w:start w:val="1"/>
      <w:numFmt w:val="decimal"/>
      <w:lvlText w:val="%1."/>
      <w:lvlJc w:val="left"/>
      <w:pPr>
        <w:tabs>
          <w:tab w:val="num" w:pos="964"/>
        </w:tabs>
        <w:ind w:left="964" w:hanging="397"/>
      </w:pPr>
      <w:rPr>
        <w:rFonts w:cs="Times New Roman" w:hint="default"/>
      </w:rPr>
    </w:lvl>
    <w:lvl w:ilvl="1">
      <w:start w:val="1"/>
      <w:numFmt w:val="lowerLetter"/>
      <w:lvlText w:val="%2."/>
      <w:lvlJc w:val="left"/>
      <w:pPr>
        <w:tabs>
          <w:tab w:val="num" w:pos="1361"/>
        </w:tabs>
        <w:ind w:left="1361" w:hanging="397"/>
      </w:pPr>
      <w:rPr>
        <w:rFonts w:cs="Times New Roman" w:hint="default"/>
      </w:rPr>
    </w:lvl>
    <w:lvl w:ilvl="2">
      <w:start w:val="1"/>
      <w:numFmt w:val="lowerRoman"/>
      <w:lvlText w:val="%3."/>
      <w:lvlJc w:val="left"/>
      <w:pPr>
        <w:tabs>
          <w:tab w:val="num" w:pos="1758"/>
        </w:tabs>
        <w:ind w:left="1758" w:hanging="397"/>
      </w:pPr>
      <w:rPr>
        <w:rFonts w:cs="Times New Roman" w:hint="default"/>
      </w:rPr>
    </w:lvl>
    <w:lvl w:ilvl="3">
      <w:start w:val="1"/>
      <w:numFmt w:val="decimal"/>
      <w:lvlText w:val="(%4)"/>
      <w:lvlJc w:val="left"/>
      <w:pPr>
        <w:tabs>
          <w:tab w:val="num" w:pos="1703"/>
        </w:tabs>
        <w:ind w:left="1703" w:hanging="284"/>
      </w:pPr>
      <w:rPr>
        <w:rFonts w:cs="Times New Roman" w:hint="default"/>
      </w:rPr>
    </w:lvl>
    <w:lvl w:ilvl="4">
      <w:start w:val="1"/>
      <w:numFmt w:val="lowerLetter"/>
      <w:lvlText w:val="(%5)"/>
      <w:lvlJc w:val="left"/>
      <w:pPr>
        <w:tabs>
          <w:tab w:val="num" w:pos="1987"/>
        </w:tabs>
        <w:ind w:left="1987" w:hanging="284"/>
      </w:pPr>
      <w:rPr>
        <w:rFonts w:cs="Times New Roman" w:hint="default"/>
      </w:rPr>
    </w:lvl>
    <w:lvl w:ilvl="5">
      <w:start w:val="1"/>
      <w:numFmt w:val="lowerRoman"/>
      <w:lvlText w:val="(%6)"/>
      <w:lvlJc w:val="left"/>
      <w:pPr>
        <w:tabs>
          <w:tab w:val="num" w:pos="2271"/>
        </w:tabs>
        <w:ind w:left="2271" w:hanging="284"/>
      </w:pPr>
      <w:rPr>
        <w:rFonts w:cs="Times New Roman" w:hint="default"/>
      </w:rPr>
    </w:lvl>
    <w:lvl w:ilvl="6">
      <w:start w:val="1"/>
      <w:numFmt w:val="decimal"/>
      <w:lvlText w:val="%7."/>
      <w:lvlJc w:val="left"/>
      <w:pPr>
        <w:tabs>
          <w:tab w:val="num" w:pos="2555"/>
        </w:tabs>
        <w:ind w:left="2555" w:hanging="284"/>
      </w:pPr>
      <w:rPr>
        <w:rFonts w:cs="Times New Roman" w:hint="default"/>
      </w:rPr>
    </w:lvl>
    <w:lvl w:ilvl="7">
      <w:start w:val="1"/>
      <w:numFmt w:val="lowerLetter"/>
      <w:lvlText w:val="%8."/>
      <w:lvlJc w:val="left"/>
      <w:pPr>
        <w:tabs>
          <w:tab w:val="num" w:pos="2839"/>
        </w:tabs>
        <w:ind w:left="2839" w:hanging="284"/>
      </w:pPr>
      <w:rPr>
        <w:rFonts w:cs="Times New Roman" w:hint="default"/>
      </w:rPr>
    </w:lvl>
    <w:lvl w:ilvl="8">
      <w:start w:val="1"/>
      <w:numFmt w:val="lowerRoman"/>
      <w:lvlText w:val="%9."/>
      <w:lvlJc w:val="left"/>
      <w:pPr>
        <w:tabs>
          <w:tab w:val="num" w:pos="3123"/>
        </w:tabs>
        <w:ind w:left="3123" w:hanging="284"/>
      </w:pPr>
      <w:rPr>
        <w:rFonts w:cs="Times New Roman" w:hint="default"/>
      </w:rPr>
    </w:lvl>
  </w:abstractNum>
  <w:abstractNum w:abstractNumId="15">
    <w:nsid w:val="36AA5867"/>
    <w:multiLevelType w:val="multilevel"/>
    <w:tmpl w:val="0410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388D47DE"/>
    <w:multiLevelType w:val="multilevel"/>
    <w:tmpl w:val="8012C870"/>
    <w:lvl w:ilvl="0">
      <w:start w:val="1"/>
      <w:numFmt w:val="decimal"/>
      <w:lvlText w:val="%1."/>
      <w:lvlJc w:val="left"/>
      <w:pPr>
        <w:ind w:left="992" w:hanging="425"/>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534F3E4A"/>
    <w:multiLevelType w:val="multilevel"/>
    <w:tmpl w:val="F842BC8C"/>
    <w:lvl w:ilvl="0">
      <w:start w:val="1"/>
      <w:numFmt w:val="bullet"/>
      <w:lvlText w:val=""/>
      <w:lvlJc w:val="left"/>
      <w:pPr>
        <w:tabs>
          <w:tab w:val="num" w:pos="851"/>
        </w:tabs>
        <w:ind w:left="851" w:hanging="284"/>
      </w:pPr>
      <w:rPr>
        <w:rFonts w:ascii="Wingdings" w:hAnsi="Wingdings" w:hint="default"/>
        <w:color w:val="0072BC"/>
      </w:rPr>
    </w:lvl>
    <w:lvl w:ilvl="1">
      <w:start w:val="1"/>
      <w:numFmt w:val="bullet"/>
      <w:lvlText w:val=""/>
      <w:lvlJc w:val="left"/>
      <w:pPr>
        <w:tabs>
          <w:tab w:val="num" w:pos="1134"/>
        </w:tabs>
        <w:ind w:left="1135" w:hanging="284"/>
      </w:pPr>
      <w:rPr>
        <w:rFonts w:ascii="Wingdings" w:hAnsi="Wingdings" w:hint="default"/>
        <w:color w:val="0072BC"/>
      </w:rPr>
    </w:lvl>
    <w:lvl w:ilvl="2">
      <w:start w:val="1"/>
      <w:numFmt w:val="bullet"/>
      <w:lvlText w:val=""/>
      <w:lvlJc w:val="left"/>
      <w:pPr>
        <w:tabs>
          <w:tab w:val="num" w:pos="1418"/>
        </w:tabs>
        <w:ind w:left="1419" w:hanging="284"/>
      </w:pPr>
      <w:rPr>
        <w:rFonts w:ascii="Wingdings" w:hAnsi="Wingdings" w:hint="default"/>
        <w:color w:val="7F7F7F"/>
      </w:rPr>
    </w:lvl>
    <w:lvl w:ilvl="3">
      <w:start w:val="1"/>
      <w:numFmt w:val="bullet"/>
      <w:lvlText w:val=""/>
      <w:lvlJc w:val="left"/>
      <w:pPr>
        <w:tabs>
          <w:tab w:val="num" w:pos="1701"/>
        </w:tabs>
        <w:ind w:left="1703" w:hanging="284"/>
      </w:pPr>
      <w:rPr>
        <w:rFonts w:ascii="Wingdings" w:hAnsi="Wingdings" w:hint="default"/>
        <w:color w:val="7F7F7F"/>
      </w:rPr>
    </w:lvl>
    <w:lvl w:ilvl="4">
      <w:start w:val="1"/>
      <w:numFmt w:val="bullet"/>
      <w:lvlText w:val=""/>
      <w:lvlJc w:val="left"/>
      <w:pPr>
        <w:tabs>
          <w:tab w:val="num" w:pos="1760"/>
        </w:tabs>
        <w:ind w:left="1987" w:hanging="284"/>
      </w:pPr>
      <w:rPr>
        <w:rFonts w:ascii="Wingdings" w:hAnsi="Wingdings" w:hint="default"/>
        <w:color w:val="0072BC"/>
      </w:rPr>
    </w:lvl>
    <w:lvl w:ilvl="5">
      <w:start w:val="1"/>
      <w:numFmt w:val="bullet"/>
      <w:lvlText w:val=""/>
      <w:lvlJc w:val="left"/>
      <w:pPr>
        <w:tabs>
          <w:tab w:val="num" w:pos="2044"/>
        </w:tabs>
        <w:ind w:left="2271" w:hanging="284"/>
      </w:pPr>
      <w:rPr>
        <w:rFonts w:ascii="Wingdings" w:hAnsi="Wingdings" w:hint="default"/>
        <w:color w:val="5F5F5F"/>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8">
    <w:nsid w:val="590D1DC3"/>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5DFC4758"/>
    <w:multiLevelType w:val="multilevel"/>
    <w:tmpl w:val="0410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nsid w:val="726306C2"/>
    <w:multiLevelType w:val="multilevel"/>
    <w:tmpl w:val="0409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73D507A1"/>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76903243"/>
    <w:multiLevelType w:val="multilevel"/>
    <w:tmpl w:val="E884A92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nsid w:val="7CCD2930"/>
    <w:multiLevelType w:val="multilevel"/>
    <w:tmpl w:val="04090023"/>
    <w:styleLink w:val="ArticleSection"/>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num w:numId="1">
    <w:abstractNumId w:val="7"/>
  </w:num>
  <w:num w:numId="2">
    <w:abstractNumId w:val="6"/>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7"/>
  </w:num>
  <w:num w:numId="12">
    <w:abstractNumId w:val="6"/>
  </w:num>
  <w:num w:numId="13">
    <w:abstractNumId w:val="9"/>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1"/>
  </w:num>
  <w:num w:numId="26">
    <w:abstractNumId w:val="10"/>
  </w:num>
  <w:num w:numId="27">
    <w:abstractNumId w:val="11"/>
  </w:num>
  <w:num w:numId="28">
    <w:abstractNumId w:val="7"/>
  </w:num>
  <w:num w:numId="29">
    <w:abstractNumId w:val="6"/>
  </w:num>
  <w:num w:numId="30">
    <w:abstractNumId w:val="22"/>
  </w:num>
  <w:num w:numId="31">
    <w:abstractNumId w:val="22"/>
  </w:num>
  <w:num w:numId="32">
    <w:abstractNumId w:val="18"/>
  </w:num>
  <w:num w:numId="33">
    <w:abstractNumId w:val="20"/>
  </w:num>
  <w:num w:numId="34">
    <w:abstractNumId w:val="23"/>
  </w:num>
  <w:num w:numId="35">
    <w:abstractNumId w:val="9"/>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7"/>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9"/>
  </w:num>
  <w:num w:numId="47">
    <w:abstractNumId w:val="15"/>
  </w:num>
  <w:num w:numId="48">
    <w:abstractNumId w:val="12"/>
  </w:num>
  <w:num w:numId="49">
    <w:abstractNumId w:val="13"/>
  </w:num>
  <w:num w:numId="50">
    <w:abstractNumId w:val="2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movePersonalInformation/>
  <w:stylePaneFormatFilter w:val="D004"/>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licationsApp" w:val="1"/>
    <w:docVar w:name="AppNatAutre" w:val="1"/>
    <w:docVar w:name="DocVarPREMATURE" w:val="0"/>
    <w:docVar w:name="EMM" w:val="0"/>
    <w:docVar w:name="ETRANSMISSION" w:val="PAR VOIE ÉLECTRONIQUE UNIQUEMENT"/>
    <w:docVar w:name="L4_1Annex" w:val="0"/>
    <w:docVar w:name="L4_1Anonymity" w:val="0"/>
    <w:docVar w:name="L4_1AppNatList" w:val="roumain"/>
    <w:docVar w:name="NBEMMDOC" w:val="0"/>
    <w:docVar w:name="Plural" w:val="0"/>
    <w:docVar w:name="SignForeName" w:val="0"/>
  </w:docVars>
  <w:rsids>
    <w:rsidRoot w:val="007C0B2A"/>
    <w:rsid w:val="000041F8"/>
    <w:rsid w:val="000042A8"/>
    <w:rsid w:val="00004308"/>
    <w:rsid w:val="00005BF0"/>
    <w:rsid w:val="00007154"/>
    <w:rsid w:val="000103AE"/>
    <w:rsid w:val="00011D69"/>
    <w:rsid w:val="00012AD3"/>
    <w:rsid w:val="00015C2D"/>
    <w:rsid w:val="00015F00"/>
    <w:rsid w:val="00022C1D"/>
    <w:rsid w:val="00034987"/>
    <w:rsid w:val="000532A4"/>
    <w:rsid w:val="000572F6"/>
    <w:rsid w:val="000602DF"/>
    <w:rsid w:val="00061B05"/>
    <w:rsid w:val="000632D5"/>
    <w:rsid w:val="000644EE"/>
    <w:rsid w:val="000925AD"/>
    <w:rsid w:val="000A24EB"/>
    <w:rsid w:val="000B6923"/>
    <w:rsid w:val="000C5F3C"/>
    <w:rsid w:val="000C6DCC"/>
    <w:rsid w:val="000D47AA"/>
    <w:rsid w:val="000D527F"/>
    <w:rsid w:val="000D5AF9"/>
    <w:rsid w:val="000D721F"/>
    <w:rsid w:val="000E069B"/>
    <w:rsid w:val="000E0E82"/>
    <w:rsid w:val="000E1DC5"/>
    <w:rsid w:val="000E223F"/>
    <w:rsid w:val="000E7D45"/>
    <w:rsid w:val="000F7851"/>
    <w:rsid w:val="00104E23"/>
    <w:rsid w:val="00111B0C"/>
    <w:rsid w:val="00112D62"/>
    <w:rsid w:val="00120D6C"/>
    <w:rsid w:val="001257EC"/>
    <w:rsid w:val="00133D33"/>
    <w:rsid w:val="00134D64"/>
    <w:rsid w:val="00135A30"/>
    <w:rsid w:val="0013612C"/>
    <w:rsid w:val="00137FF6"/>
    <w:rsid w:val="00141650"/>
    <w:rsid w:val="00150BFA"/>
    <w:rsid w:val="00162A12"/>
    <w:rsid w:val="00166530"/>
    <w:rsid w:val="001832BD"/>
    <w:rsid w:val="001943B5"/>
    <w:rsid w:val="00195134"/>
    <w:rsid w:val="001A0752"/>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0718E"/>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55866"/>
    <w:rsid w:val="00260C03"/>
    <w:rsid w:val="002617AF"/>
    <w:rsid w:val="00263EEB"/>
    <w:rsid w:val="0026540E"/>
    <w:rsid w:val="00275123"/>
    <w:rsid w:val="00282240"/>
    <w:rsid w:val="002948AD"/>
    <w:rsid w:val="002A01CC"/>
    <w:rsid w:val="002A61B1"/>
    <w:rsid w:val="002A663C"/>
    <w:rsid w:val="002B444B"/>
    <w:rsid w:val="002B5887"/>
    <w:rsid w:val="002C0E27"/>
    <w:rsid w:val="002C3040"/>
    <w:rsid w:val="002D022D"/>
    <w:rsid w:val="002D24BB"/>
    <w:rsid w:val="002F2AF7"/>
    <w:rsid w:val="002F3FF0"/>
    <w:rsid w:val="002F7C4B"/>
    <w:rsid w:val="002F7E1C"/>
    <w:rsid w:val="00301A75"/>
    <w:rsid w:val="00302F70"/>
    <w:rsid w:val="0030336F"/>
    <w:rsid w:val="0030375E"/>
    <w:rsid w:val="00312A30"/>
    <w:rsid w:val="003146E4"/>
    <w:rsid w:val="00320F72"/>
    <w:rsid w:val="0032463E"/>
    <w:rsid w:val="00326224"/>
    <w:rsid w:val="003312A3"/>
    <w:rsid w:val="00334EC5"/>
    <w:rsid w:val="00337EE4"/>
    <w:rsid w:val="00340FFD"/>
    <w:rsid w:val="00350508"/>
    <w:rsid w:val="003506B1"/>
    <w:rsid w:val="00356AC7"/>
    <w:rsid w:val="003609FA"/>
    <w:rsid w:val="00362787"/>
    <w:rsid w:val="003710C8"/>
    <w:rsid w:val="003750BE"/>
    <w:rsid w:val="00381AF0"/>
    <w:rsid w:val="00387B9D"/>
    <w:rsid w:val="0039364F"/>
    <w:rsid w:val="00396686"/>
    <w:rsid w:val="0039778E"/>
    <w:rsid w:val="003B4941"/>
    <w:rsid w:val="003C5714"/>
    <w:rsid w:val="003C6B9F"/>
    <w:rsid w:val="003C6E2A"/>
    <w:rsid w:val="003D0299"/>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9A8"/>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E4847"/>
    <w:rsid w:val="004F10AF"/>
    <w:rsid w:val="004F11A4"/>
    <w:rsid w:val="004F2389"/>
    <w:rsid w:val="004F304D"/>
    <w:rsid w:val="004F61BE"/>
    <w:rsid w:val="004F66B1"/>
    <w:rsid w:val="00511C07"/>
    <w:rsid w:val="005130E3"/>
    <w:rsid w:val="005173A6"/>
    <w:rsid w:val="00520BAA"/>
    <w:rsid w:val="00525208"/>
    <w:rsid w:val="005257A5"/>
    <w:rsid w:val="005264C0"/>
    <w:rsid w:val="00526A8A"/>
    <w:rsid w:val="00531DF2"/>
    <w:rsid w:val="00542319"/>
    <w:rsid w:val="005442EE"/>
    <w:rsid w:val="00547353"/>
    <w:rsid w:val="005474E7"/>
    <w:rsid w:val="005512A3"/>
    <w:rsid w:val="005578CE"/>
    <w:rsid w:val="00562781"/>
    <w:rsid w:val="0057271C"/>
    <w:rsid w:val="00572845"/>
    <w:rsid w:val="00592772"/>
    <w:rsid w:val="0059574A"/>
    <w:rsid w:val="005A1B9B"/>
    <w:rsid w:val="005A6751"/>
    <w:rsid w:val="005B092E"/>
    <w:rsid w:val="005B1423"/>
    <w:rsid w:val="005B152C"/>
    <w:rsid w:val="005B1EE0"/>
    <w:rsid w:val="005B21C6"/>
    <w:rsid w:val="005B2B24"/>
    <w:rsid w:val="005B4425"/>
    <w:rsid w:val="005B4B94"/>
    <w:rsid w:val="005C3EE8"/>
    <w:rsid w:val="005D09B3"/>
    <w:rsid w:val="005D34F9"/>
    <w:rsid w:val="005D4190"/>
    <w:rsid w:val="005D67A3"/>
    <w:rsid w:val="005E2988"/>
    <w:rsid w:val="005E3085"/>
    <w:rsid w:val="005F338C"/>
    <w:rsid w:val="005F51E1"/>
    <w:rsid w:val="00611C80"/>
    <w:rsid w:val="00620692"/>
    <w:rsid w:val="006242CA"/>
    <w:rsid w:val="00627507"/>
    <w:rsid w:val="00630B70"/>
    <w:rsid w:val="00633717"/>
    <w:rsid w:val="00633A19"/>
    <w:rsid w:val="006344E1"/>
    <w:rsid w:val="006544C4"/>
    <w:rsid w:val="006545C4"/>
    <w:rsid w:val="00661971"/>
    <w:rsid w:val="00661CE8"/>
    <w:rsid w:val="006623D9"/>
    <w:rsid w:val="0066550C"/>
    <w:rsid w:val="006716F2"/>
    <w:rsid w:val="00682BF2"/>
    <w:rsid w:val="006859CE"/>
    <w:rsid w:val="00691270"/>
    <w:rsid w:val="00693F69"/>
    <w:rsid w:val="00694BA8"/>
    <w:rsid w:val="006A037C"/>
    <w:rsid w:val="006A36F4"/>
    <w:rsid w:val="006A406F"/>
    <w:rsid w:val="006A5D3A"/>
    <w:rsid w:val="006C23D4"/>
    <w:rsid w:val="006C7BB0"/>
    <w:rsid w:val="006D3237"/>
    <w:rsid w:val="006E2E37"/>
    <w:rsid w:val="006E3CF1"/>
    <w:rsid w:val="006E7E80"/>
    <w:rsid w:val="006F0DE0"/>
    <w:rsid w:val="006F106B"/>
    <w:rsid w:val="006F48CA"/>
    <w:rsid w:val="006F64DD"/>
    <w:rsid w:val="007027F4"/>
    <w:rsid w:val="00702DD2"/>
    <w:rsid w:val="00706345"/>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4125"/>
    <w:rsid w:val="007850EE"/>
    <w:rsid w:val="00785B95"/>
    <w:rsid w:val="00790E96"/>
    <w:rsid w:val="00793366"/>
    <w:rsid w:val="00794E45"/>
    <w:rsid w:val="007A41EB"/>
    <w:rsid w:val="007A4AB5"/>
    <w:rsid w:val="007A716F"/>
    <w:rsid w:val="007B270A"/>
    <w:rsid w:val="007C0695"/>
    <w:rsid w:val="007C0B2A"/>
    <w:rsid w:val="007C419A"/>
    <w:rsid w:val="007C4CC8"/>
    <w:rsid w:val="007C5426"/>
    <w:rsid w:val="007C5798"/>
    <w:rsid w:val="007D142D"/>
    <w:rsid w:val="007D4832"/>
    <w:rsid w:val="007E05DD"/>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3BE9"/>
    <w:rsid w:val="00834220"/>
    <w:rsid w:val="00845723"/>
    <w:rsid w:val="00851EF9"/>
    <w:rsid w:val="008545F9"/>
    <w:rsid w:val="008577FD"/>
    <w:rsid w:val="00860B03"/>
    <w:rsid w:val="0086497A"/>
    <w:rsid w:val="008713A1"/>
    <w:rsid w:val="008754AB"/>
    <w:rsid w:val="0088060C"/>
    <w:rsid w:val="00893576"/>
    <w:rsid w:val="00893E73"/>
    <w:rsid w:val="008A42D2"/>
    <w:rsid w:val="008B02DC"/>
    <w:rsid w:val="008B57CE"/>
    <w:rsid w:val="008C26DE"/>
    <w:rsid w:val="008C4AA6"/>
    <w:rsid w:val="008D2225"/>
    <w:rsid w:val="008D4752"/>
    <w:rsid w:val="008E271C"/>
    <w:rsid w:val="008E418E"/>
    <w:rsid w:val="008E5BC6"/>
    <w:rsid w:val="008E688A"/>
    <w:rsid w:val="008E6A25"/>
    <w:rsid w:val="008F5193"/>
    <w:rsid w:val="008F6961"/>
    <w:rsid w:val="009013A7"/>
    <w:rsid w:val="009017FB"/>
    <w:rsid w:val="009017FC"/>
    <w:rsid w:val="0090506B"/>
    <w:rsid w:val="009050C9"/>
    <w:rsid w:val="009066FC"/>
    <w:rsid w:val="00907825"/>
    <w:rsid w:val="0091033D"/>
    <w:rsid w:val="009140A3"/>
    <w:rsid w:val="009144A2"/>
    <w:rsid w:val="0091510C"/>
    <w:rsid w:val="009259AC"/>
    <w:rsid w:val="00926F38"/>
    <w:rsid w:val="00934301"/>
    <w:rsid w:val="00936CD1"/>
    <w:rsid w:val="00941747"/>
    <w:rsid w:val="00941EFB"/>
    <w:rsid w:val="00947AFB"/>
    <w:rsid w:val="00951D7D"/>
    <w:rsid w:val="009630C7"/>
    <w:rsid w:val="00972B55"/>
    <w:rsid w:val="009743B7"/>
    <w:rsid w:val="0098228B"/>
    <w:rsid w:val="009828DA"/>
    <w:rsid w:val="00985BAB"/>
    <w:rsid w:val="00996906"/>
    <w:rsid w:val="009B1B5F"/>
    <w:rsid w:val="009B6673"/>
    <w:rsid w:val="009C191B"/>
    <w:rsid w:val="009C2BD6"/>
    <w:rsid w:val="009C65F1"/>
    <w:rsid w:val="009D36AA"/>
    <w:rsid w:val="009E1F32"/>
    <w:rsid w:val="009E776C"/>
    <w:rsid w:val="009F7DC3"/>
    <w:rsid w:val="00A1726E"/>
    <w:rsid w:val="00A204CF"/>
    <w:rsid w:val="00A23D49"/>
    <w:rsid w:val="00A27004"/>
    <w:rsid w:val="00A30C29"/>
    <w:rsid w:val="00A34DD6"/>
    <w:rsid w:val="00A36819"/>
    <w:rsid w:val="00A36989"/>
    <w:rsid w:val="00A43628"/>
    <w:rsid w:val="00A45145"/>
    <w:rsid w:val="00A45BD0"/>
    <w:rsid w:val="00A54192"/>
    <w:rsid w:val="00A6035E"/>
    <w:rsid w:val="00A6144C"/>
    <w:rsid w:val="00A63E32"/>
    <w:rsid w:val="00A66617"/>
    <w:rsid w:val="00A671F8"/>
    <w:rsid w:val="00A673A4"/>
    <w:rsid w:val="00A724AE"/>
    <w:rsid w:val="00A73329"/>
    <w:rsid w:val="00A82359"/>
    <w:rsid w:val="00A865D2"/>
    <w:rsid w:val="00A94C20"/>
    <w:rsid w:val="00AA227F"/>
    <w:rsid w:val="00AA3BC7"/>
    <w:rsid w:val="00AA754A"/>
    <w:rsid w:val="00AB099E"/>
    <w:rsid w:val="00AB4328"/>
    <w:rsid w:val="00AC33AF"/>
    <w:rsid w:val="00AE0A2E"/>
    <w:rsid w:val="00AE354C"/>
    <w:rsid w:val="00AE6E1A"/>
    <w:rsid w:val="00AF4B07"/>
    <w:rsid w:val="00AF6186"/>
    <w:rsid w:val="00AF7102"/>
    <w:rsid w:val="00AF7A3A"/>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2D55"/>
    <w:rsid w:val="00BA71B1"/>
    <w:rsid w:val="00BB0637"/>
    <w:rsid w:val="00BB345F"/>
    <w:rsid w:val="00BB68EA"/>
    <w:rsid w:val="00BC1C27"/>
    <w:rsid w:val="00BC6BBF"/>
    <w:rsid w:val="00BD1572"/>
    <w:rsid w:val="00BD6A09"/>
    <w:rsid w:val="00BE14E3"/>
    <w:rsid w:val="00BE3774"/>
    <w:rsid w:val="00BE41E5"/>
    <w:rsid w:val="00BF4109"/>
    <w:rsid w:val="00BF4CC3"/>
    <w:rsid w:val="00C054C7"/>
    <w:rsid w:val="00C057B5"/>
    <w:rsid w:val="00C22687"/>
    <w:rsid w:val="00C32E4D"/>
    <w:rsid w:val="00C333A0"/>
    <w:rsid w:val="00C36408"/>
    <w:rsid w:val="00C36A81"/>
    <w:rsid w:val="00C41974"/>
    <w:rsid w:val="00C53E23"/>
    <w:rsid w:val="00C53F4A"/>
    <w:rsid w:val="00C54125"/>
    <w:rsid w:val="00C55B54"/>
    <w:rsid w:val="00C6098E"/>
    <w:rsid w:val="00C6152C"/>
    <w:rsid w:val="00C7075A"/>
    <w:rsid w:val="00C74810"/>
    <w:rsid w:val="00C90D68"/>
    <w:rsid w:val="00C939FE"/>
    <w:rsid w:val="00C940F4"/>
    <w:rsid w:val="00CA4BDA"/>
    <w:rsid w:val="00CB1F66"/>
    <w:rsid w:val="00CB2951"/>
    <w:rsid w:val="00CB7C13"/>
    <w:rsid w:val="00CD282B"/>
    <w:rsid w:val="00CD4C35"/>
    <w:rsid w:val="00CD4E5E"/>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3EBD"/>
    <w:rsid w:val="00D44C2E"/>
    <w:rsid w:val="00D45414"/>
    <w:rsid w:val="00D52446"/>
    <w:rsid w:val="00D54B18"/>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C4"/>
    <w:rsid w:val="00DF210C"/>
    <w:rsid w:val="00DF4B6A"/>
    <w:rsid w:val="00E02897"/>
    <w:rsid w:val="00E02C09"/>
    <w:rsid w:val="00E04D59"/>
    <w:rsid w:val="00E07DA1"/>
    <w:rsid w:val="00E123CB"/>
    <w:rsid w:val="00E20E13"/>
    <w:rsid w:val="00E21DBC"/>
    <w:rsid w:val="00E275D7"/>
    <w:rsid w:val="00E27DBE"/>
    <w:rsid w:val="00E318ED"/>
    <w:rsid w:val="00E32AB1"/>
    <w:rsid w:val="00E35164"/>
    <w:rsid w:val="00E36C71"/>
    <w:rsid w:val="00E40404"/>
    <w:rsid w:val="00E459C6"/>
    <w:rsid w:val="00E47589"/>
    <w:rsid w:val="00E64915"/>
    <w:rsid w:val="00E661D4"/>
    <w:rsid w:val="00E70091"/>
    <w:rsid w:val="00E720F5"/>
    <w:rsid w:val="00E7450A"/>
    <w:rsid w:val="00E764FD"/>
    <w:rsid w:val="00E76D47"/>
    <w:rsid w:val="00E849F7"/>
    <w:rsid w:val="00E90302"/>
    <w:rsid w:val="00E97396"/>
    <w:rsid w:val="00EA185E"/>
    <w:rsid w:val="00EA592A"/>
    <w:rsid w:val="00EB14E4"/>
    <w:rsid w:val="00EB32A5"/>
    <w:rsid w:val="00EB34ED"/>
    <w:rsid w:val="00EB7BE0"/>
    <w:rsid w:val="00EC315E"/>
    <w:rsid w:val="00ED077C"/>
    <w:rsid w:val="00ED1190"/>
    <w:rsid w:val="00ED1FEA"/>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56A6F"/>
    <w:rsid w:val="00F5709C"/>
    <w:rsid w:val="00F64D31"/>
    <w:rsid w:val="00F64EF1"/>
    <w:rsid w:val="00F77265"/>
    <w:rsid w:val="00F8507C"/>
    <w:rsid w:val="00F8765F"/>
    <w:rsid w:val="00F90767"/>
    <w:rsid w:val="00FA685B"/>
    <w:rsid w:val="00FB0C01"/>
    <w:rsid w:val="00FC18F2"/>
    <w:rsid w:val="00FC39E5"/>
    <w:rsid w:val="00FC3A78"/>
    <w:rsid w:val="00FD1005"/>
    <w:rsid w:val="00FD6C75"/>
    <w:rsid w:val="00FE71B3"/>
    <w:rsid w:val="00FF42C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uiPriority="0"/>
    <w:lsdException w:name="index 2" w:locked="1" w:semiHidden="1" w:unhideWhenUsed="1"/>
    <w:lsdException w:name="index 3" w:uiPriority="0"/>
    <w:lsdException w:name="index 4" w:uiPriority="0"/>
    <w:lsdException w:name="index 5" w:uiPriority="0"/>
    <w:lsdException w:name="index 6" w:locked="1" w:semiHidden="1" w:unhideWhenUsed="1"/>
    <w:lsdException w:name="index 7" w:uiPriority="0"/>
    <w:lsdException w:name="index 8" w:locked="1" w:semiHidden="1" w:unhideWhenUsed="1"/>
    <w:lsdException w:name="index 9" w:uiPriority="0"/>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uiPriority="0"/>
    <w:lsdException w:name="toc 7" w:uiPriority="0"/>
    <w:lsdException w:name="toc 8" w:uiPriority="0"/>
    <w:lsdException w:name="toc 9" w:uiPriority="0"/>
    <w:lsdException w:name="Normal Indent" w:uiPriority="0"/>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uiPriority="0"/>
    <w:lsdException w:name="envelope address" w:uiPriority="0"/>
    <w:lsdException w:name="envelope return" w:locked="1" w:semiHidden="1" w:unhideWhenUsed="1"/>
    <w:lsdException w:name="footnote reference" w:locked="1" w:semiHidden="1" w:unhideWhenUsed="1"/>
    <w:lsdException w:name="annotation reference" w:uiPriority="0"/>
    <w:lsdException w:name="line number" w:locked="1" w:semiHidden="1" w:unhideWhenUsed="1"/>
    <w:lsdException w:name="page number" w:uiPriority="0"/>
    <w:lsdException w:name="endnote reference" w:locked="1" w:semiHidden="1" w:unhideWhenUsed="1"/>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locked="1" w:semiHidden="1" w:unhideWhenUsed="1"/>
    <w:lsdException w:name="List 2" w:locked="1" w:semiHidden="1" w:unhideWhenUsed="1"/>
    <w:lsdException w:name="List 3" w:uiPriority="0"/>
    <w:lsdException w:name="List 4" w:locked="1" w:semiHidden="1" w:unhideWhenUsed="1"/>
    <w:lsdException w:name="List 5" w:uiPriority="0"/>
    <w:lsdException w:name="List Bullet 2" w:uiPriority="0"/>
    <w:lsdException w:name="List Bullet 3" w:locked="1" w:semiHidden="1" w:unhideWhenUsed="1"/>
    <w:lsdException w:name="List Bullet 4" w:uiPriority="0"/>
    <w:lsdException w:name="List Bullet 5" w:locked="1" w:semiHidden="1" w:unhideWhenUsed="1"/>
    <w:lsdException w:name="List Number 2" w:uiPriority="0"/>
    <w:lsdException w:name="List Number 3" w:locked="1" w:semiHidden="1" w:unhideWhenUsed="1"/>
    <w:lsdException w:name="List Number 4" w:uiPriority="0"/>
    <w:lsdException w:name="List Number 5" w:locked="1" w:semiHidden="1" w:unhideWhenUsed="1"/>
    <w:lsdException w:name="Title" w:locked="1" w:uiPriority="10" w:qFormat="1"/>
    <w:lsdException w:name="Closing" w:uiPriority="0"/>
    <w:lsdException w:name="Signature" w:uiPriority="0"/>
    <w:lsdException w:name="Default Paragraph Font" w:locked="1" w:semiHidden="1" w:uiPriority="1" w:unhideWhenUsed="1"/>
    <w:lsdException w:name="Body Text" w:locked="1" w:semiHidden="1" w:unhideWhenUsed="1"/>
    <w:lsdException w:name="Body Text Indent" w:uiPriority="0"/>
    <w:lsdException w:name="List Continue" w:uiPriority="0"/>
    <w:lsdException w:name="List Continue 2" w:locked="1" w:semiHidden="1" w:unhideWhenUsed="1"/>
    <w:lsdException w:name="List Continue 3" w:uiPriority="0"/>
    <w:lsdException w:name="List Continue 4" w:uiPriority="0"/>
    <w:lsdException w:name="List Continue 5" w:uiPriority="0"/>
    <w:lsdException w:name="Message Header" w:uiPriority="0"/>
    <w:lsdException w:name="Subtitle" w:locked="1" w:uiPriority="11" w:qFormat="1"/>
    <w:lsdException w:name="Salutation" w:uiPriority="0"/>
    <w:lsdException w:name="Date" w:uiPriority="0"/>
    <w:lsdException w:name="Body Text First Indent" w:uiPriority="0"/>
    <w:lsdException w:name="Body Text First Indent 2" w:locked="1" w:semiHidden="1" w:unhideWhenUsed="1"/>
    <w:lsdException w:name="Note Heading" w:uiPriority="0"/>
    <w:lsdException w:name="Body Text 2" w:uiPriority="0"/>
    <w:lsdException w:name="Body Text 3" w:uiPriority="0"/>
    <w:lsdException w:name="Body Text Indent 2" w:locked="1" w:semiHidden="1" w:unhideWhenUsed="1"/>
    <w:lsdException w:name="Body Text Indent 3" w:uiPriority="0"/>
    <w:lsdException w:name="Block Text" w:uiPriority="0"/>
    <w:lsdException w:name="Hyperlink" w:locked="1" w:semiHidden="1" w:unhideWhenUsed="1"/>
    <w:lsdException w:name="FollowedHyperlink" w:uiPriority="0"/>
    <w:lsdException w:name="Strong" w:locked="1" w:uiPriority="22" w:qFormat="1"/>
    <w:lsdException w:name="Emphasis" w:locked="1" w:uiPriority="20" w:qFormat="1"/>
    <w:lsdException w:name="Document Map" w:locked="1" w:semiHidden="1" w:unhideWhenUsed="1"/>
    <w:lsdException w:name="Plain Text" w:uiPriority="0"/>
    <w:lsdException w:name="E-mail Signature" w:uiPriority="0"/>
    <w:lsdException w:name="HTML Top of Form" w:locked="1" w:semiHidden="1" w:unhideWhenUsed="1"/>
    <w:lsdException w:name="HTML Bottom of Form" w:locked="1" w:semiHidden="1" w:unhideWhenUsed="1"/>
    <w:lsdException w:name="Normal (Web)" w:uiPriority="0"/>
    <w:lsdException w:name="HTML Acronym" w:uiPriority="0"/>
    <w:lsdException w:name="HTML Address" w:locked="1" w:semiHidden="1" w:unhideWhenUsed="1"/>
    <w:lsdException w:name="HTML Cite" w:uiPriority="0"/>
    <w:lsdException w:name="HTML Code" w:uiPriority="0"/>
    <w:lsdException w:name="HTML Definition" w:uiPriority="0"/>
    <w:lsdException w:name="HTML Keyboard" w:locked="1" w:semiHidden="1" w:unhideWhenUsed="1"/>
    <w:lsdException w:name="HTML Preformatted" w:uiPriority="0"/>
    <w:lsdException w:name="HTML Sample" w:locked="1" w:semiHidden="1" w:unhideWhenUsed="1"/>
    <w:lsdException w:name="HTML Typewriter" w:uiPriority="0"/>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544C4"/>
    <w:pPr>
      <w:jc w:val="both"/>
    </w:pPr>
    <w:rPr>
      <w:rFonts w:eastAsia="MS Mincho"/>
      <w:sz w:val="24"/>
      <w:lang w:val="en-US" w:eastAsia="en-US"/>
    </w:rPr>
  </w:style>
  <w:style w:type="paragraph" w:styleId="Heading1">
    <w:name w:val="heading 1"/>
    <w:basedOn w:val="Normal"/>
    <w:next w:val="Normal"/>
    <w:link w:val="Heading1Char"/>
    <w:uiPriority w:val="99"/>
    <w:qFormat/>
    <w:rsid w:val="00941747"/>
    <w:pPr>
      <w:spacing w:before="480"/>
      <w:contextualSpacing/>
      <w:outlineLvl w:val="0"/>
    </w:pPr>
    <w:rPr>
      <w:rFonts w:eastAsia="MS Gothic"/>
      <w:b/>
      <w:bCs/>
      <w:color w:val="333333"/>
      <w:sz w:val="28"/>
      <w:szCs w:val="28"/>
    </w:rPr>
  </w:style>
  <w:style w:type="paragraph" w:styleId="Heading2">
    <w:name w:val="heading 2"/>
    <w:basedOn w:val="Normal"/>
    <w:next w:val="Normal"/>
    <w:link w:val="Heading2Char"/>
    <w:uiPriority w:val="99"/>
    <w:qFormat/>
    <w:rsid w:val="00941747"/>
    <w:pPr>
      <w:spacing w:before="200"/>
      <w:outlineLvl w:val="1"/>
    </w:pPr>
    <w:rPr>
      <w:rFonts w:eastAsia="MS Gothic"/>
      <w:b/>
      <w:bCs/>
      <w:color w:val="4D4D4D"/>
      <w:sz w:val="26"/>
      <w:szCs w:val="26"/>
    </w:rPr>
  </w:style>
  <w:style w:type="paragraph" w:styleId="Heading3">
    <w:name w:val="heading 3"/>
    <w:basedOn w:val="Normal"/>
    <w:next w:val="Normal"/>
    <w:link w:val="Heading3Char"/>
    <w:uiPriority w:val="99"/>
    <w:qFormat/>
    <w:rsid w:val="00941747"/>
    <w:pPr>
      <w:spacing w:before="200" w:line="271" w:lineRule="auto"/>
      <w:outlineLvl w:val="2"/>
    </w:pPr>
    <w:rPr>
      <w:rFonts w:eastAsia="MS Gothic"/>
      <w:b/>
      <w:bCs/>
      <w:color w:val="5F5F5F"/>
    </w:rPr>
  </w:style>
  <w:style w:type="paragraph" w:styleId="Heading4">
    <w:name w:val="heading 4"/>
    <w:basedOn w:val="Normal"/>
    <w:next w:val="Normal"/>
    <w:link w:val="Heading4Char"/>
    <w:uiPriority w:val="99"/>
    <w:qFormat/>
    <w:rsid w:val="00941747"/>
    <w:pPr>
      <w:spacing w:before="200"/>
      <w:outlineLvl w:val="3"/>
    </w:pPr>
    <w:rPr>
      <w:rFonts w:eastAsia="MS Gothic"/>
      <w:b/>
      <w:bCs/>
      <w:i/>
      <w:iCs/>
      <w:color w:val="777777"/>
    </w:rPr>
  </w:style>
  <w:style w:type="paragraph" w:styleId="Heading5">
    <w:name w:val="heading 5"/>
    <w:basedOn w:val="Normal"/>
    <w:next w:val="Normal"/>
    <w:link w:val="Heading5Char"/>
    <w:uiPriority w:val="99"/>
    <w:qFormat/>
    <w:rsid w:val="006544C4"/>
    <w:pPr>
      <w:spacing w:before="200"/>
      <w:outlineLvl w:val="4"/>
    </w:pPr>
    <w:rPr>
      <w:rFonts w:eastAsia="MS Gothic"/>
      <w:b/>
      <w:bCs/>
      <w:color w:val="808080"/>
      <w:sz w:val="22"/>
    </w:rPr>
  </w:style>
  <w:style w:type="paragraph" w:styleId="Heading6">
    <w:name w:val="heading 6"/>
    <w:basedOn w:val="Normal"/>
    <w:next w:val="Normal"/>
    <w:link w:val="Heading6Char"/>
    <w:uiPriority w:val="99"/>
    <w:qFormat/>
    <w:rsid w:val="00941747"/>
    <w:pPr>
      <w:spacing w:line="271" w:lineRule="auto"/>
      <w:outlineLvl w:val="5"/>
    </w:pPr>
    <w:rPr>
      <w:rFonts w:eastAsia="MS Gothic"/>
      <w:b/>
      <w:bCs/>
      <w:i/>
      <w:iCs/>
      <w:color w:val="7F7F7F"/>
    </w:rPr>
  </w:style>
  <w:style w:type="paragraph" w:styleId="Heading7">
    <w:name w:val="heading 7"/>
    <w:basedOn w:val="Normal"/>
    <w:next w:val="Normal"/>
    <w:link w:val="Heading7Char"/>
    <w:uiPriority w:val="99"/>
    <w:qFormat/>
    <w:rsid w:val="006544C4"/>
    <w:pPr>
      <w:outlineLvl w:val="6"/>
    </w:pPr>
    <w:rPr>
      <w:rFonts w:eastAsia="MS Gothic"/>
      <w:i/>
      <w:iCs/>
      <w:sz w:val="22"/>
    </w:rPr>
  </w:style>
  <w:style w:type="paragraph" w:styleId="Heading8">
    <w:name w:val="heading 8"/>
    <w:basedOn w:val="Normal"/>
    <w:next w:val="Normal"/>
    <w:link w:val="Heading8Char"/>
    <w:uiPriority w:val="99"/>
    <w:qFormat/>
    <w:rsid w:val="006544C4"/>
    <w:pPr>
      <w:outlineLvl w:val="7"/>
    </w:pPr>
    <w:rPr>
      <w:rFonts w:eastAsia="MS Gothic"/>
      <w:sz w:val="20"/>
      <w:szCs w:val="20"/>
    </w:rPr>
  </w:style>
  <w:style w:type="paragraph" w:styleId="Heading9">
    <w:name w:val="heading 9"/>
    <w:basedOn w:val="Normal"/>
    <w:next w:val="Normal"/>
    <w:link w:val="Heading9Char"/>
    <w:uiPriority w:val="99"/>
    <w:qFormat/>
    <w:rsid w:val="006544C4"/>
    <w:pPr>
      <w:outlineLvl w:val="8"/>
    </w:pPr>
    <w:rPr>
      <w:rFonts w:eastAsia="MS Gothic"/>
      <w:i/>
      <w:iCs/>
      <w:spacing w:val="5"/>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A671F8"/>
    <w:rPr>
      <w:rFonts w:ascii="Times New Roman" w:eastAsia="MS Gothic" w:hAnsi="Times New Roman" w:cs="Times New Roman"/>
      <w:b/>
      <w:bCs/>
      <w:color w:val="333333"/>
      <w:sz w:val="28"/>
      <w:szCs w:val="28"/>
    </w:rPr>
  </w:style>
  <w:style w:type="character" w:customStyle="1" w:styleId="Heading2Char">
    <w:name w:val="Heading 2 Char"/>
    <w:basedOn w:val="DefaultParagraphFont"/>
    <w:link w:val="Heading2"/>
    <w:uiPriority w:val="99"/>
    <w:semiHidden/>
    <w:locked/>
    <w:rsid w:val="00A671F8"/>
    <w:rPr>
      <w:rFonts w:ascii="Times New Roman" w:eastAsia="MS Gothic" w:hAnsi="Times New Roman" w:cs="Times New Roman"/>
      <w:b/>
      <w:bCs/>
      <w:color w:val="4D4D4D"/>
      <w:sz w:val="26"/>
      <w:szCs w:val="26"/>
    </w:rPr>
  </w:style>
  <w:style w:type="character" w:customStyle="1" w:styleId="Heading3Char">
    <w:name w:val="Heading 3 Char"/>
    <w:basedOn w:val="DefaultParagraphFont"/>
    <w:link w:val="Heading3"/>
    <w:uiPriority w:val="99"/>
    <w:semiHidden/>
    <w:locked/>
    <w:rsid w:val="00A671F8"/>
    <w:rPr>
      <w:rFonts w:ascii="Times New Roman" w:eastAsia="MS Gothic" w:hAnsi="Times New Roman" w:cs="Times New Roman"/>
      <w:b/>
      <w:bCs/>
      <w:color w:val="5F5F5F"/>
    </w:rPr>
  </w:style>
  <w:style w:type="character" w:customStyle="1" w:styleId="Heading4Char">
    <w:name w:val="Heading 4 Char"/>
    <w:basedOn w:val="DefaultParagraphFont"/>
    <w:link w:val="Heading4"/>
    <w:uiPriority w:val="99"/>
    <w:semiHidden/>
    <w:locked/>
    <w:rsid w:val="00A671F8"/>
    <w:rPr>
      <w:rFonts w:ascii="Times New Roman" w:eastAsia="MS Gothic" w:hAnsi="Times New Roman" w:cs="Times New Roman"/>
      <w:b/>
      <w:bCs/>
      <w:i/>
      <w:iCs/>
      <w:color w:val="777777"/>
    </w:rPr>
  </w:style>
  <w:style w:type="character" w:customStyle="1" w:styleId="Heading5Char">
    <w:name w:val="Heading 5 Char"/>
    <w:basedOn w:val="DefaultParagraphFont"/>
    <w:link w:val="Heading5"/>
    <w:uiPriority w:val="99"/>
    <w:semiHidden/>
    <w:locked/>
    <w:rsid w:val="006544C4"/>
    <w:rPr>
      <w:rFonts w:ascii="Times New Roman" w:eastAsia="MS Gothic" w:hAnsi="Times New Roman" w:cs="Times New Roman"/>
      <w:b/>
      <w:bCs/>
      <w:color w:val="808080"/>
    </w:rPr>
  </w:style>
  <w:style w:type="character" w:customStyle="1" w:styleId="Heading6Char">
    <w:name w:val="Heading 6 Char"/>
    <w:basedOn w:val="DefaultParagraphFont"/>
    <w:link w:val="Heading6"/>
    <w:uiPriority w:val="99"/>
    <w:semiHidden/>
    <w:locked/>
    <w:rsid w:val="00A671F8"/>
    <w:rPr>
      <w:rFonts w:ascii="Times New Roman" w:eastAsia="MS Gothic" w:hAnsi="Times New Roman" w:cs="Times New Roman"/>
      <w:b/>
      <w:bCs/>
      <w:i/>
      <w:iCs/>
      <w:color w:val="7F7F7F"/>
    </w:rPr>
  </w:style>
  <w:style w:type="character" w:customStyle="1" w:styleId="Heading7Char">
    <w:name w:val="Heading 7 Char"/>
    <w:basedOn w:val="DefaultParagraphFont"/>
    <w:link w:val="Heading7"/>
    <w:uiPriority w:val="99"/>
    <w:semiHidden/>
    <w:locked/>
    <w:rsid w:val="006544C4"/>
    <w:rPr>
      <w:rFonts w:ascii="Times New Roman" w:eastAsia="MS Gothic" w:hAnsi="Times New Roman" w:cs="Times New Roman"/>
      <w:i/>
      <w:iCs/>
    </w:rPr>
  </w:style>
  <w:style w:type="character" w:customStyle="1" w:styleId="Heading8Char">
    <w:name w:val="Heading 8 Char"/>
    <w:basedOn w:val="DefaultParagraphFont"/>
    <w:link w:val="Heading8"/>
    <w:uiPriority w:val="99"/>
    <w:semiHidden/>
    <w:locked/>
    <w:rsid w:val="006544C4"/>
    <w:rPr>
      <w:rFonts w:ascii="Times New Roman" w:eastAsia="MS Gothic" w:hAnsi="Times New Roman" w:cs="Times New Roman"/>
      <w:sz w:val="20"/>
      <w:szCs w:val="20"/>
    </w:rPr>
  </w:style>
  <w:style w:type="character" w:customStyle="1" w:styleId="Heading9Char">
    <w:name w:val="Heading 9 Char"/>
    <w:basedOn w:val="DefaultParagraphFont"/>
    <w:link w:val="Heading9"/>
    <w:uiPriority w:val="99"/>
    <w:semiHidden/>
    <w:locked/>
    <w:rsid w:val="006544C4"/>
    <w:rPr>
      <w:rFonts w:ascii="Times New Roman" w:eastAsia="MS Gothic" w:hAnsi="Times New Roman" w:cs="Times New Roman"/>
      <w:i/>
      <w:iCs/>
      <w:spacing w:val="5"/>
      <w:sz w:val="20"/>
      <w:szCs w:val="20"/>
    </w:rPr>
  </w:style>
  <w:style w:type="paragraph" w:styleId="BalloonText">
    <w:name w:val="Balloon Text"/>
    <w:basedOn w:val="Normal"/>
    <w:link w:val="BalloonTextChar"/>
    <w:uiPriority w:val="99"/>
    <w:semiHidden/>
    <w:rsid w:val="009417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71F8"/>
    <w:rPr>
      <w:rFonts w:ascii="Tahoma" w:eastAsia="MS Mincho" w:hAnsi="Tahoma" w:cs="Tahoma"/>
      <w:sz w:val="16"/>
      <w:szCs w:val="16"/>
    </w:rPr>
  </w:style>
  <w:style w:type="character" w:styleId="BookTitle">
    <w:name w:val="Book Title"/>
    <w:basedOn w:val="DefaultParagraphFont"/>
    <w:uiPriority w:val="99"/>
    <w:qFormat/>
    <w:rsid w:val="006544C4"/>
    <w:rPr>
      <w:i/>
      <w:smallCaps/>
      <w:spacing w:val="5"/>
    </w:rPr>
  </w:style>
  <w:style w:type="paragraph" w:customStyle="1" w:styleId="ECHRHeader">
    <w:name w:val="ECHR_Header"/>
    <w:aliases w:val="Ju_Header"/>
    <w:basedOn w:val="Header"/>
    <w:uiPriority w:val="99"/>
    <w:rsid w:val="006544C4"/>
    <w:pPr>
      <w:tabs>
        <w:tab w:val="clear" w:pos="4536"/>
        <w:tab w:val="clear" w:pos="9696"/>
        <w:tab w:val="center" w:pos="3686"/>
        <w:tab w:val="right" w:pos="7371"/>
      </w:tabs>
      <w:ind w:left="0" w:right="0"/>
      <w:jc w:val="left"/>
    </w:pPr>
    <w:rPr>
      <w:rFonts w:eastAsia="Times New Roman"/>
      <w:sz w:val="18"/>
    </w:rPr>
  </w:style>
  <w:style w:type="paragraph" w:customStyle="1" w:styleId="JuAppQuestion">
    <w:name w:val="Ju_App_Question"/>
    <w:basedOn w:val="Normal"/>
    <w:uiPriority w:val="99"/>
    <w:rsid w:val="006544C4"/>
    <w:pPr>
      <w:numPr>
        <w:numId w:val="11"/>
      </w:numPr>
      <w:tabs>
        <w:tab w:val="clear" w:pos="643"/>
        <w:tab w:val="num" w:pos="720"/>
      </w:tabs>
      <w:ind w:left="720"/>
      <w:jc w:val="left"/>
    </w:pPr>
    <w:rPr>
      <w:b/>
    </w:rPr>
  </w:style>
  <w:style w:type="character" w:styleId="Strong">
    <w:name w:val="Strong"/>
    <w:basedOn w:val="DefaultParagraphFont"/>
    <w:uiPriority w:val="99"/>
    <w:qFormat/>
    <w:rsid w:val="006544C4"/>
    <w:rPr>
      <w:rFonts w:cs="Times New Roman"/>
      <w:b/>
    </w:rPr>
  </w:style>
  <w:style w:type="paragraph" w:styleId="NoSpacing">
    <w:name w:val="No Spacing"/>
    <w:basedOn w:val="Normal"/>
    <w:link w:val="NoSpacingChar"/>
    <w:uiPriority w:val="99"/>
    <w:qFormat/>
    <w:rsid w:val="006544C4"/>
    <w:rPr>
      <w:sz w:val="22"/>
    </w:rPr>
  </w:style>
  <w:style w:type="character" w:customStyle="1" w:styleId="NoSpacingChar">
    <w:name w:val="No Spacing Char"/>
    <w:basedOn w:val="DefaultParagraphFont"/>
    <w:link w:val="NoSpacing"/>
    <w:uiPriority w:val="99"/>
    <w:semiHidden/>
    <w:locked/>
    <w:rsid w:val="006544C4"/>
    <w:rPr>
      <w:rFonts w:eastAsia="MS Mincho" w:cs="Times New Roman"/>
    </w:rPr>
  </w:style>
  <w:style w:type="paragraph" w:customStyle="1" w:styleId="OpiPara">
    <w:name w:val="Opi_Para"/>
    <w:basedOn w:val="Normal"/>
    <w:uiPriority w:val="99"/>
    <w:semiHidden/>
    <w:rsid w:val="004047FE"/>
    <w:pPr>
      <w:ind w:firstLine="284"/>
    </w:pPr>
  </w:style>
  <w:style w:type="paragraph" w:customStyle="1" w:styleId="ECHRParaQuote">
    <w:name w:val="ECHR_Para_Quote"/>
    <w:aliases w:val="Ju_Quot"/>
    <w:basedOn w:val="Normal"/>
    <w:uiPriority w:val="99"/>
    <w:rsid w:val="006544C4"/>
    <w:pPr>
      <w:spacing w:before="120" w:after="120"/>
      <w:ind w:left="425" w:firstLine="142"/>
    </w:pPr>
    <w:rPr>
      <w:sz w:val="20"/>
    </w:rPr>
  </w:style>
  <w:style w:type="paragraph" w:customStyle="1" w:styleId="JuParaSub">
    <w:name w:val="Ju_Para_Sub"/>
    <w:basedOn w:val="Normal"/>
    <w:uiPriority w:val="99"/>
    <w:rsid w:val="004047FE"/>
    <w:pPr>
      <w:ind w:left="284" w:firstLine="284"/>
    </w:pPr>
  </w:style>
  <w:style w:type="paragraph" w:customStyle="1" w:styleId="OpiParaSub">
    <w:name w:val="Opi_Para_Sub"/>
    <w:basedOn w:val="JuParaSub"/>
    <w:uiPriority w:val="99"/>
    <w:semiHidden/>
    <w:rsid w:val="006544C4"/>
  </w:style>
  <w:style w:type="paragraph" w:customStyle="1" w:styleId="OpiQuot">
    <w:name w:val="Opi_Quot"/>
    <w:basedOn w:val="ECHRParaQuote"/>
    <w:uiPriority w:val="99"/>
    <w:semiHidden/>
    <w:rsid w:val="006544C4"/>
  </w:style>
  <w:style w:type="paragraph" w:customStyle="1" w:styleId="OpiQuotSub">
    <w:name w:val="Opi_Quot_Sub"/>
    <w:basedOn w:val="JuQuotSub"/>
    <w:uiPriority w:val="99"/>
    <w:semiHidden/>
    <w:rsid w:val="006544C4"/>
  </w:style>
  <w:style w:type="paragraph" w:customStyle="1" w:styleId="ECHRTitleCentre3">
    <w:name w:val="ECHR_Title_Centre_3"/>
    <w:aliases w:val="Ju_H_Article"/>
    <w:basedOn w:val="Normal"/>
    <w:next w:val="ECHRParaQuote"/>
    <w:uiPriority w:val="99"/>
    <w:rsid w:val="006544C4"/>
    <w:pPr>
      <w:keepNext/>
      <w:keepLines/>
      <w:spacing w:before="240" w:after="120"/>
      <w:jc w:val="center"/>
      <w:outlineLvl w:val="3"/>
    </w:pPr>
    <w:rPr>
      <w:b/>
      <w:sz w:val="20"/>
    </w:rPr>
  </w:style>
  <w:style w:type="paragraph" w:customStyle="1" w:styleId="ECHRTitleCentre1">
    <w:name w:val="ECHR_Title_Centre_1"/>
    <w:aliases w:val="Opi_H_Head"/>
    <w:basedOn w:val="Normal"/>
    <w:next w:val="OpiPara"/>
    <w:uiPriority w:val="99"/>
    <w:semiHidden/>
    <w:rsid w:val="006544C4"/>
    <w:pPr>
      <w:keepNext/>
      <w:keepLines/>
      <w:spacing w:after="240"/>
      <w:jc w:val="center"/>
      <w:outlineLvl w:val="0"/>
    </w:pPr>
    <w:rPr>
      <w:sz w:val="28"/>
    </w:rPr>
  </w:style>
  <w:style w:type="paragraph" w:customStyle="1" w:styleId="JuQuotSub">
    <w:name w:val="Ju_Quot_Sub"/>
    <w:basedOn w:val="ECHRParaQuote"/>
    <w:uiPriority w:val="99"/>
    <w:rsid w:val="006544C4"/>
    <w:pPr>
      <w:ind w:left="567"/>
    </w:pPr>
  </w:style>
  <w:style w:type="paragraph" w:customStyle="1" w:styleId="ECHRTitle1">
    <w:name w:val="ECHR_Title_1"/>
    <w:aliases w:val="Ju_H_Head"/>
    <w:basedOn w:val="Normal"/>
    <w:next w:val="Normal"/>
    <w:uiPriority w:val="99"/>
    <w:rsid w:val="006544C4"/>
    <w:pPr>
      <w:keepNext/>
      <w:keepLines/>
      <w:spacing w:before="720" w:after="240"/>
      <w:outlineLvl w:val="0"/>
    </w:pPr>
    <w:rPr>
      <w:sz w:val="28"/>
    </w:rPr>
  </w:style>
  <w:style w:type="paragraph" w:customStyle="1" w:styleId="JuInitialled">
    <w:name w:val="Ju_Initialled"/>
    <w:basedOn w:val="Normal"/>
    <w:uiPriority w:val="99"/>
    <w:rsid w:val="006544C4"/>
    <w:pPr>
      <w:tabs>
        <w:tab w:val="center" w:pos="6407"/>
      </w:tabs>
      <w:spacing w:before="720"/>
      <w:jc w:val="right"/>
    </w:pPr>
  </w:style>
  <w:style w:type="paragraph" w:styleId="Title">
    <w:name w:val="Title"/>
    <w:basedOn w:val="Normal"/>
    <w:next w:val="Normal"/>
    <w:link w:val="TitleChar"/>
    <w:uiPriority w:val="99"/>
    <w:qFormat/>
    <w:rsid w:val="006544C4"/>
    <w:pPr>
      <w:pBdr>
        <w:bottom w:val="single" w:sz="4" w:space="1" w:color="auto"/>
      </w:pBdr>
      <w:contextualSpacing/>
    </w:pPr>
    <w:rPr>
      <w:rFonts w:eastAsia="MS Gothic"/>
      <w:spacing w:val="5"/>
      <w:sz w:val="52"/>
      <w:szCs w:val="52"/>
    </w:rPr>
  </w:style>
  <w:style w:type="character" w:customStyle="1" w:styleId="TitleChar">
    <w:name w:val="Title Char"/>
    <w:basedOn w:val="DefaultParagraphFont"/>
    <w:link w:val="Title"/>
    <w:uiPriority w:val="99"/>
    <w:semiHidden/>
    <w:locked/>
    <w:rsid w:val="006544C4"/>
    <w:rPr>
      <w:rFonts w:ascii="Times New Roman" w:eastAsia="MS Gothic" w:hAnsi="Times New Roman" w:cs="Times New Roman"/>
      <w:spacing w:val="5"/>
      <w:sz w:val="52"/>
      <w:szCs w:val="52"/>
    </w:rPr>
  </w:style>
  <w:style w:type="paragraph" w:customStyle="1" w:styleId="OpiHA">
    <w:name w:val="Opi_H_A"/>
    <w:basedOn w:val="ECHRHeading1"/>
    <w:next w:val="OpiPara"/>
    <w:uiPriority w:val="99"/>
    <w:semiHidden/>
    <w:rsid w:val="006544C4"/>
    <w:pPr>
      <w:tabs>
        <w:tab w:val="clear" w:pos="357"/>
      </w:tabs>
      <w:outlineLvl w:val="1"/>
    </w:pPr>
    <w:rPr>
      <w:b/>
    </w:rPr>
  </w:style>
  <w:style w:type="character" w:customStyle="1" w:styleId="JUNAMES">
    <w:name w:val="JU_NAMES"/>
    <w:uiPriority w:val="99"/>
    <w:rsid w:val="006544C4"/>
    <w:rPr>
      <w:smallCaps/>
    </w:rPr>
  </w:style>
  <w:style w:type="character" w:customStyle="1" w:styleId="JuITMark">
    <w:name w:val="Ju_ITMark"/>
    <w:basedOn w:val="DefaultParagraphFont"/>
    <w:uiPriority w:val="99"/>
    <w:rsid w:val="006544C4"/>
    <w:rPr>
      <w:rFonts w:cs="Times New Roman"/>
      <w:vanish/>
      <w:color w:val="339966"/>
      <w:sz w:val="14"/>
    </w:rPr>
  </w:style>
  <w:style w:type="paragraph" w:customStyle="1" w:styleId="OpiTranslation">
    <w:name w:val="Opi_Translation"/>
    <w:basedOn w:val="Normal"/>
    <w:next w:val="OpiPara"/>
    <w:uiPriority w:val="99"/>
    <w:semiHidden/>
    <w:rsid w:val="006544C4"/>
    <w:pPr>
      <w:jc w:val="center"/>
      <w:outlineLvl w:val="0"/>
    </w:pPr>
    <w:rPr>
      <w:i/>
    </w:rPr>
  </w:style>
  <w:style w:type="paragraph" w:customStyle="1" w:styleId="JuCourt">
    <w:name w:val="Ju_Court"/>
    <w:basedOn w:val="Normal"/>
    <w:next w:val="Normal"/>
    <w:uiPriority w:val="99"/>
    <w:rsid w:val="006544C4"/>
    <w:pPr>
      <w:tabs>
        <w:tab w:val="left" w:pos="907"/>
        <w:tab w:val="left" w:pos="1701"/>
        <w:tab w:val="right" w:pos="7371"/>
      </w:tabs>
      <w:spacing w:before="240"/>
      <w:ind w:left="397" w:hanging="397"/>
      <w:jc w:val="left"/>
    </w:pPr>
  </w:style>
  <w:style w:type="paragraph" w:customStyle="1" w:styleId="ECHRHeading1">
    <w:name w:val="ECHR_Heading_1"/>
    <w:aliases w:val="Ju_H_I_Roman"/>
    <w:basedOn w:val="Heading1"/>
    <w:next w:val="Normal"/>
    <w:uiPriority w:val="99"/>
    <w:rsid w:val="006544C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Normal"/>
    <w:uiPriority w:val="99"/>
    <w:rsid w:val="006544C4"/>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Normal"/>
    <w:uiPriority w:val="99"/>
    <w:rsid w:val="006544C4"/>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99"/>
    <w:semiHidden/>
    <w:rsid w:val="00941747"/>
    <w:pPr>
      <w:tabs>
        <w:tab w:val="center" w:pos="4536"/>
        <w:tab w:val="right" w:pos="9696"/>
      </w:tabs>
      <w:ind w:left="-680" w:right="-680"/>
    </w:pPr>
  </w:style>
  <w:style w:type="character" w:customStyle="1" w:styleId="HeaderChar">
    <w:name w:val="Header Char"/>
    <w:basedOn w:val="DefaultParagraphFont"/>
    <w:link w:val="Header"/>
    <w:uiPriority w:val="99"/>
    <w:semiHidden/>
    <w:locked/>
    <w:rsid w:val="008D4752"/>
    <w:rPr>
      <w:rFonts w:cs="Times New Roman"/>
    </w:rPr>
  </w:style>
  <w:style w:type="paragraph" w:customStyle="1" w:styleId="ECHRHeading4">
    <w:name w:val="ECHR_Heading_4"/>
    <w:aliases w:val="Ju_H_a"/>
    <w:basedOn w:val="Heading4"/>
    <w:next w:val="Normal"/>
    <w:uiPriority w:val="99"/>
    <w:rsid w:val="006544C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Normal"/>
    <w:uiPriority w:val="99"/>
    <w:rsid w:val="006544C4"/>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Normal"/>
    <w:uiPriority w:val="99"/>
    <w:rsid w:val="006544C4"/>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Normal"/>
    <w:uiPriority w:val="99"/>
    <w:rsid w:val="006544C4"/>
    <w:pPr>
      <w:keepNext/>
      <w:keepLines/>
      <w:spacing w:before="240" w:after="120"/>
      <w:ind w:left="1236"/>
    </w:pPr>
    <w:rPr>
      <w:sz w:val="20"/>
    </w:rPr>
  </w:style>
  <w:style w:type="paragraph" w:customStyle="1" w:styleId="JuParaLast">
    <w:name w:val="Ju_Para_Last"/>
    <w:basedOn w:val="Normal"/>
    <w:next w:val="Normal"/>
    <w:uiPriority w:val="99"/>
    <w:rsid w:val="006544C4"/>
    <w:pPr>
      <w:keepNext/>
      <w:keepLines/>
      <w:spacing w:before="240"/>
      <w:ind w:firstLine="284"/>
    </w:pPr>
  </w:style>
  <w:style w:type="paragraph" w:customStyle="1" w:styleId="DecList">
    <w:name w:val="Dec_List"/>
    <w:basedOn w:val="Normal"/>
    <w:uiPriority w:val="99"/>
    <w:rsid w:val="006544C4"/>
    <w:pPr>
      <w:spacing w:before="240"/>
      <w:ind w:left="284"/>
    </w:pPr>
  </w:style>
  <w:style w:type="paragraph" w:customStyle="1" w:styleId="ECHRDecisionBody">
    <w:name w:val="ECHR_Decision_Body"/>
    <w:aliases w:val="Ju_Judges"/>
    <w:basedOn w:val="Normal"/>
    <w:uiPriority w:val="99"/>
    <w:rsid w:val="006544C4"/>
    <w:pPr>
      <w:tabs>
        <w:tab w:val="left" w:pos="567"/>
        <w:tab w:val="left" w:pos="1134"/>
      </w:tabs>
      <w:jc w:val="left"/>
    </w:pPr>
  </w:style>
  <w:style w:type="paragraph" w:customStyle="1" w:styleId="JuList">
    <w:name w:val="Ju_List"/>
    <w:basedOn w:val="Normal"/>
    <w:uiPriority w:val="99"/>
    <w:rsid w:val="006544C4"/>
    <w:pPr>
      <w:ind w:left="340" w:hanging="340"/>
    </w:pPr>
  </w:style>
  <w:style w:type="paragraph" w:customStyle="1" w:styleId="JuLista">
    <w:name w:val="Ju_List_a"/>
    <w:basedOn w:val="JuList"/>
    <w:uiPriority w:val="99"/>
    <w:rsid w:val="006544C4"/>
    <w:pPr>
      <w:ind w:left="346" w:firstLine="0"/>
    </w:pPr>
  </w:style>
  <w:style w:type="character" w:styleId="SubtleEmphasis">
    <w:name w:val="Subtle Emphasis"/>
    <w:basedOn w:val="DefaultParagraphFont"/>
    <w:uiPriority w:val="99"/>
    <w:qFormat/>
    <w:rsid w:val="006544C4"/>
    <w:rPr>
      <w:i/>
    </w:rPr>
  </w:style>
  <w:style w:type="paragraph" w:customStyle="1" w:styleId="JuListi">
    <w:name w:val="Ju_List_i"/>
    <w:basedOn w:val="Normal"/>
    <w:next w:val="JuLista"/>
    <w:uiPriority w:val="99"/>
    <w:rsid w:val="006544C4"/>
    <w:pPr>
      <w:ind w:left="794"/>
    </w:pPr>
  </w:style>
  <w:style w:type="table" w:customStyle="1" w:styleId="ECHRTable">
    <w:name w:val="ECHR_Table"/>
    <w:uiPriority w:val="99"/>
    <w:rsid w:val="00860B03"/>
    <w:rPr>
      <w:sz w:val="20"/>
      <w:szCs w:val="20"/>
      <w:lang w:val="en-GB"/>
    </w:rPr>
    <w:tblPr>
      <w:tblStyleRowBandSize w:val="1"/>
      <w:tblStyleColBandSize w:val="1"/>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tblStylePr w:type="firstRow">
      <w:rPr>
        <w:rFonts w:ascii="Times New Roman" w:hAnsi="Times New Roman" w:cs="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rFonts w:cs="Times New Roman"/>
        <w:b/>
      </w:rPr>
    </w:tblStylePr>
    <w:tblStylePr w:type="band2Vert">
      <w:rPr>
        <w:rFonts w:cs="Times New Roman"/>
      </w:rPr>
      <w:tblPr/>
      <w:tcPr>
        <w:tcBorders>
          <w:top w:val="nil"/>
          <w:left w:val="nil"/>
          <w:bottom w:val="nil"/>
          <w:right w:val="nil"/>
          <w:insideH w:val="nil"/>
          <w:insideV w:val="nil"/>
          <w:tl2br w:val="nil"/>
          <w:tr2bl w:val="nil"/>
        </w:tcBorders>
        <w:shd w:val="clear" w:color="auto" w:fill="DFDFDF"/>
      </w:tcPr>
    </w:tblStylePr>
    <w:tblStylePr w:type="band2Horz">
      <w:rPr>
        <w:rFonts w:cs="Times New Roman"/>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uiPriority w:val="99"/>
    <w:rsid w:val="004C086C"/>
    <w:rPr>
      <w:rFonts w:ascii="Verdana" w:hAnsi="Verdana"/>
      <w:sz w:val="20"/>
      <w:szCs w:val="20"/>
      <w:lang w:val="en-GB"/>
    </w:rPr>
    <w:tblPr>
      <w:tblInd w:w="0" w:type="dxa"/>
      <w:tblCellMar>
        <w:top w:w="57" w:type="dxa"/>
        <w:left w:w="57" w:type="dxa"/>
        <w:bottom w:w="57" w:type="dxa"/>
        <w:right w:w="57" w:type="dxa"/>
      </w:tblCellMar>
    </w:tblPr>
    <w:tcPr>
      <w:shd w:val="clear" w:color="auto" w:fill="F8F8F8"/>
    </w:tcPr>
    <w:tblStylePr w:type="firstCol">
      <w:rPr>
        <w:rFonts w:cs="Times New Roman"/>
        <w:b/>
        <w:color w:val="5F5F5F"/>
      </w:rPr>
    </w:tblStylePr>
  </w:style>
  <w:style w:type="paragraph" w:customStyle="1" w:styleId="OpiH1">
    <w:name w:val="Opi_H_1"/>
    <w:basedOn w:val="ECHRHeading2"/>
    <w:uiPriority w:val="99"/>
    <w:semiHidden/>
    <w:rsid w:val="006544C4"/>
    <w:pPr>
      <w:ind w:left="635" w:hanging="357"/>
      <w:outlineLvl w:val="2"/>
    </w:pPr>
  </w:style>
  <w:style w:type="paragraph" w:customStyle="1" w:styleId="OpiHa0">
    <w:name w:val="Opi_H_a"/>
    <w:basedOn w:val="ECHRHeading3"/>
    <w:uiPriority w:val="99"/>
    <w:semiHidden/>
    <w:rsid w:val="006544C4"/>
    <w:pPr>
      <w:ind w:left="833" w:hanging="357"/>
      <w:outlineLvl w:val="3"/>
    </w:pPr>
    <w:rPr>
      <w:b/>
      <w:i w:val="0"/>
      <w:sz w:val="20"/>
    </w:rPr>
  </w:style>
  <w:style w:type="paragraph" w:customStyle="1" w:styleId="ECHRTitleCentre2">
    <w:name w:val="ECHR_Title_Centre_2"/>
    <w:aliases w:val="Dec_H_Case"/>
    <w:basedOn w:val="Normal"/>
    <w:next w:val="Normal"/>
    <w:uiPriority w:val="99"/>
    <w:rsid w:val="006544C4"/>
    <w:pPr>
      <w:spacing w:after="240"/>
      <w:jc w:val="center"/>
      <w:outlineLvl w:val="0"/>
    </w:pPr>
  </w:style>
  <w:style w:type="character" w:styleId="Emphasis">
    <w:name w:val="Emphasis"/>
    <w:basedOn w:val="DefaultParagraphFont"/>
    <w:uiPriority w:val="99"/>
    <w:qFormat/>
    <w:rsid w:val="006544C4"/>
    <w:rPr>
      <w:rFonts w:cs="Times New Roman"/>
      <w:b/>
      <w:i/>
      <w:spacing w:val="10"/>
      <w:shd w:val="clear" w:color="auto" w:fill="auto"/>
    </w:rPr>
  </w:style>
  <w:style w:type="paragraph" w:styleId="Footer">
    <w:name w:val="footer"/>
    <w:basedOn w:val="Normal"/>
    <w:link w:val="FooterChar"/>
    <w:uiPriority w:val="99"/>
    <w:semiHidden/>
    <w:rsid w:val="00941747"/>
    <w:pPr>
      <w:tabs>
        <w:tab w:val="center" w:pos="4536"/>
        <w:tab w:val="right" w:pos="9696"/>
      </w:tabs>
      <w:ind w:left="-680" w:right="-680"/>
    </w:pPr>
  </w:style>
  <w:style w:type="character" w:customStyle="1" w:styleId="FooterChar">
    <w:name w:val="Footer Char"/>
    <w:basedOn w:val="DefaultParagraphFont"/>
    <w:link w:val="Footer"/>
    <w:uiPriority w:val="99"/>
    <w:semiHidden/>
    <w:locked/>
    <w:rsid w:val="008D4752"/>
    <w:rPr>
      <w:rFonts w:cs="Times New Roman"/>
    </w:rPr>
  </w:style>
  <w:style w:type="character" w:styleId="FootnoteReference">
    <w:name w:val="footnote reference"/>
    <w:basedOn w:val="DefaultParagraphFont"/>
    <w:uiPriority w:val="99"/>
    <w:semiHidden/>
    <w:rsid w:val="00941747"/>
    <w:rPr>
      <w:rFonts w:cs="Times New Roman"/>
      <w:vertAlign w:val="superscript"/>
    </w:rPr>
  </w:style>
  <w:style w:type="paragraph" w:styleId="FootnoteText">
    <w:name w:val="footnote text"/>
    <w:basedOn w:val="Normal"/>
    <w:link w:val="FootnoteTextChar"/>
    <w:uiPriority w:val="99"/>
    <w:semiHidden/>
    <w:rsid w:val="00941747"/>
    <w:rPr>
      <w:sz w:val="20"/>
      <w:szCs w:val="20"/>
    </w:rPr>
  </w:style>
  <w:style w:type="character" w:customStyle="1" w:styleId="FootnoteTextChar">
    <w:name w:val="Footnote Text Char"/>
    <w:basedOn w:val="DefaultParagraphFont"/>
    <w:link w:val="FootnoteText"/>
    <w:uiPriority w:val="99"/>
    <w:semiHidden/>
    <w:locked/>
    <w:rsid w:val="00A671F8"/>
    <w:rPr>
      <w:rFonts w:eastAsia="MS Mincho" w:cs="Times New Roman"/>
      <w:sz w:val="20"/>
      <w:szCs w:val="20"/>
    </w:rPr>
  </w:style>
  <w:style w:type="character" w:styleId="Hyperlink">
    <w:name w:val="Hyperlink"/>
    <w:basedOn w:val="DefaultParagraphFont"/>
    <w:uiPriority w:val="99"/>
    <w:semiHidden/>
    <w:rsid w:val="00941747"/>
    <w:rPr>
      <w:rFonts w:cs="Times New Roman"/>
      <w:color w:val="0072BC"/>
      <w:u w:val="single"/>
    </w:rPr>
  </w:style>
  <w:style w:type="character" w:styleId="IntenseEmphasis">
    <w:name w:val="Intense Emphasis"/>
    <w:basedOn w:val="DefaultParagraphFont"/>
    <w:uiPriority w:val="99"/>
    <w:qFormat/>
    <w:rsid w:val="006544C4"/>
    <w:rPr>
      <w:b/>
    </w:rPr>
  </w:style>
  <w:style w:type="paragraph" w:styleId="IntenseQuote">
    <w:name w:val="Intense Quote"/>
    <w:basedOn w:val="Normal"/>
    <w:next w:val="Normal"/>
    <w:link w:val="IntenseQuoteChar"/>
    <w:uiPriority w:val="99"/>
    <w:qFormat/>
    <w:rsid w:val="006544C4"/>
    <w:pPr>
      <w:pBdr>
        <w:bottom w:val="single" w:sz="4" w:space="1" w:color="auto"/>
      </w:pBdr>
      <w:spacing w:before="200" w:after="280"/>
      <w:ind w:left="1008" w:right="1152"/>
    </w:pPr>
    <w:rPr>
      <w:b/>
      <w:bCs/>
      <w:i/>
      <w:iCs/>
      <w:sz w:val="22"/>
    </w:rPr>
  </w:style>
  <w:style w:type="character" w:customStyle="1" w:styleId="IntenseQuoteChar">
    <w:name w:val="Intense Quote Char"/>
    <w:basedOn w:val="DefaultParagraphFont"/>
    <w:link w:val="IntenseQuote"/>
    <w:uiPriority w:val="99"/>
    <w:semiHidden/>
    <w:locked/>
    <w:rsid w:val="006544C4"/>
    <w:rPr>
      <w:rFonts w:eastAsia="MS Mincho" w:cs="Times New Roman"/>
      <w:b/>
      <w:bCs/>
      <w:i/>
      <w:iCs/>
    </w:rPr>
  </w:style>
  <w:style w:type="character" w:styleId="IntenseReference">
    <w:name w:val="Intense Reference"/>
    <w:basedOn w:val="DefaultParagraphFont"/>
    <w:uiPriority w:val="99"/>
    <w:qFormat/>
    <w:rsid w:val="006544C4"/>
    <w:rPr>
      <w:smallCaps/>
      <w:spacing w:val="5"/>
      <w:u w:val="single"/>
    </w:rPr>
  </w:style>
  <w:style w:type="paragraph" w:styleId="ListParagraph">
    <w:name w:val="List Paragraph"/>
    <w:basedOn w:val="Normal"/>
    <w:uiPriority w:val="99"/>
    <w:qFormat/>
    <w:rsid w:val="006544C4"/>
    <w:pPr>
      <w:ind w:left="720"/>
      <w:contextualSpacing/>
    </w:pPr>
  </w:style>
  <w:style w:type="table" w:customStyle="1" w:styleId="LtrTableAddress">
    <w:name w:val="Ltr_Table_Address"/>
    <w:uiPriority w:val="99"/>
    <w:rsid w:val="001E6F32"/>
    <w:rPr>
      <w:sz w:val="20"/>
      <w:szCs w:val="20"/>
    </w:rPr>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qFormat/>
    <w:rsid w:val="006544C4"/>
    <w:pPr>
      <w:spacing w:before="200"/>
      <w:ind w:left="360" w:right="360"/>
    </w:pPr>
    <w:rPr>
      <w:i/>
      <w:iCs/>
      <w:sz w:val="22"/>
    </w:rPr>
  </w:style>
  <w:style w:type="character" w:customStyle="1" w:styleId="QuoteChar">
    <w:name w:val="Quote Char"/>
    <w:basedOn w:val="DefaultParagraphFont"/>
    <w:link w:val="Quote"/>
    <w:uiPriority w:val="99"/>
    <w:semiHidden/>
    <w:locked/>
    <w:rsid w:val="006544C4"/>
    <w:rPr>
      <w:rFonts w:eastAsia="MS Mincho" w:cs="Times New Roman"/>
      <w:i/>
      <w:iCs/>
    </w:rPr>
  </w:style>
  <w:style w:type="character" w:styleId="SubtleReference">
    <w:name w:val="Subtle Reference"/>
    <w:basedOn w:val="DefaultParagraphFont"/>
    <w:uiPriority w:val="99"/>
    <w:qFormat/>
    <w:rsid w:val="006544C4"/>
    <w:rPr>
      <w:smallCaps/>
    </w:rPr>
  </w:style>
  <w:style w:type="table" w:styleId="TableGrid">
    <w:name w:val="Table Grid"/>
    <w:basedOn w:val="TableNormal"/>
    <w:uiPriority w:val="99"/>
    <w:semiHidden/>
    <w:rsid w:val="00941747"/>
    <w:rPr>
      <w:rFonts w:eastAsia="MS Mincho"/>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EA185E"/>
    <w:pPr>
      <w:spacing w:before="120" w:after="60"/>
      <w:ind w:left="340" w:right="340" w:hanging="340"/>
    </w:pPr>
    <w:rPr>
      <w:color w:val="0D0D0D"/>
    </w:rPr>
  </w:style>
  <w:style w:type="paragraph" w:styleId="TOC2">
    <w:name w:val="toc 2"/>
    <w:basedOn w:val="Normal"/>
    <w:next w:val="Normal"/>
    <w:autoRedefine/>
    <w:uiPriority w:val="99"/>
    <w:semiHidden/>
    <w:rsid w:val="00EA185E"/>
    <w:pPr>
      <w:spacing w:after="60"/>
      <w:ind w:left="680" w:right="340" w:hanging="340"/>
    </w:pPr>
  </w:style>
  <w:style w:type="paragraph" w:styleId="TOC3">
    <w:name w:val="toc 3"/>
    <w:basedOn w:val="Normal"/>
    <w:next w:val="Normal"/>
    <w:autoRedefine/>
    <w:uiPriority w:val="99"/>
    <w:semiHidden/>
    <w:rsid w:val="00EA185E"/>
    <w:pPr>
      <w:spacing w:after="60"/>
      <w:ind w:left="1020" w:right="340" w:hanging="340"/>
    </w:pPr>
  </w:style>
  <w:style w:type="paragraph" w:styleId="TOC4">
    <w:name w:val="toc 4"/>
    <w:basedOn w:val="Normal"/>
    <w:next w:val="Normal"/>
    <w:autoRedefine/>
    <w:uiPriority w:val="99"/>
    <w:semiHidden/>
    <w:rsid w:val="00EA185E"/>
    <w:pPr>
      <w:tabs>
        <w:tab w:val="right" w:leader="dot" w:pos="9017"/>
      </w:tabs>
      <w:spacing w:after="60"/>
      <w:ind w:left="1361" w:right="340" w:hanging="340"/>
    </w:pPr>
  </w:style>
  <w:style w:type="paragraph" w:styleId="TOC5">
    <w:name w:val="toc 5"/>
    <w:basedOn w:val="Normal"/>
    <w:next w:val="Normal"/>
    <w:autoRedefine/>
    <w:uiPriority w:val="99"/>
    <w:semiHidden/>
    <w:rsid w:val="00B46543"/>
    <w:pPr>
      <w:spacing w:after="60"/>
      <w:ind w:left="1701" w:right="340" w:hanging="340"/>
    </w:pPr>
  </w:style>
  <w:style w:type="paragraph" w:styleId="TOCHeading">
    <w:name w:val="TOC Heading"/>
    <w:basedOn w:val="Heading1"/>
    <w:next w:val="Normal"/>
    <w:uiPriority w:val="99"/>
    <w:qFormat/>
    <w:rsid w:val="006544C4"/>
    <w:pPr>
      <w:outlineLvl w:val="9"/>
    </w:pPr>
    <w:rPr>
      <w:color w:val="474747"/>
    </w:rPr>
  </w:style>
  <w:style w:type="table" w:customStyle="1" w:styleId="UGTable">
    <w:name w:val="UG_Table"/>
    <w:uiPriority w:val="99"/>
    <w:rsid w:val="00801300"/>
    <w:rPr>
      <w:rFonts w:eastAsia="MS Mincho"/>
      <w:sz w:val="20"/>
      <w:szCs w:val="20"/>
      <w:lang w:val="en-GB" w:eastAsia="en-GB"/>
    </w:rPr>
    <w:tblPr>
      <w:tblInd w:w="-1191" w:type="dxa"/>
      <w:tblCellMar>
        <w:top w:w="57" w:type="dxa"/>
        <w:left w:w="0" w:type="dxa"/>
        <w:bottom w:w="0" w:type="dxa"/>
        <w:right w:w="0" w:type="dxa"/>
      </w:tblCellMar>
    </w:tblPr>
    <w:tblStylePr w:type="swCell">
      <w:rPr>
        <w:rFonts w:cs="Times New Roman"/>
      </w:rPr>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uiPriority w:val="99"/>
    <w:rsid w:val="00801300"/>
    <w:rPr>
      <w:rFonts w:eastAsia="MS Mincho"/>
      <w:sz w:val="20"/>
      <w:szCs w:val="20"/>
      <w:lang w:val="en-GB" w:eastAsia="en-GB"/>
    </w:rPr>
    <w:tblPr>
      <w:tblInd w:w="0" w:type="dxa"/>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uiPriority w:val="99"/>
    <w:rsid w:val="00810B38"/>
    <w:rPr>
      <w:color w:val="000000"/>
      <w:sz w:val="18"/>
      <w:szCs w:val="20"/>
    </w:rPr>
    <w:tblPr>
      <w:tblInd w:w="0" w:type="dxa"/>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CellMar>
        <w:top w:w="0" w:type="dxa"/>
        <w:left w:w="108" w:type="dxa"/>
        <w:bottom w:w="0" w:type="dxa"/>
        <w:right w:w="108" w:type="dxa"/>
      </w:tblCellMar>
    </w:tblPr>
    <w:tblStylePr w:type="firstRow">
      <w:pPr>
        <w:spacing w:beforeLines="0" w:beforeAutospacing="0" w:afterLines="0" w:afterAutospacing="0"/>
        <w:contextualSpacing/>
        <w:jc w:val="center"/>
      </w:pPr>
      <w:rPr>
        <w:rFonts w:cs="Times New Roman"/>
        <w:b/>
        <w:i w:val="0"/>
        <w:color w:val="FFFFFF"/>
        <w:sz w:val="20"/>
      </w:rPr>
      <w:tblPr/>
      <w:tcPr>
        <w:tcBorders>
          <w:top w:val="nil"/>
          <w:left w:val="nil"/>
          <w:bottom w:val="nil"/>
          <w:right w:val="nil"/>
          <w:insideH w:val="nil"/>
          <w:insideV w:val="nil"/>
          <w:tl2br w:val="nil"/>
          <w:tr2bl w:val="nil"/>
        </w:tcBorders>
        <w:shd w:val="clear" w:color="auto" w:fill="0072BC"/>
      </w:tcPr>
    </w:tblStylePr>
    <w:tblStylePr w:type="firstCol">
      <w:pPr>
        <w:jc w:val="left"/>
      </w:pPr>
      <w:rPr>
        <w:rFonts w:cs="Times New Roman"/>
      </w:rPr>
    </w:tblStylePr>
  </w:style>
  <w:style w:type="table" w:customStyle="1" w:styleId="ECHRTableFax">
    <w:name w:val="ECHR_Table_Fax"/>
    <w:uiPriority w:val="99"/>
    <w:rsid w:val="00893576"/>
    <w:rPr>
      <w:color w:val="000000"/>
      <w:sz w:val="20"/>
      <w:szCs w:val="20"/>
    </w:rPr>
    <w:tblPr>
      <w:tblInd w:w="-680" w:type="dxa"/>
      <w:tblBorders>
        <w:insideH w:val="single" w:sz="4" w:space="0" w:color="C6C6C6"/>
        <w:insideV w:val="single" w:sz="4" w:space="0" w:color="C6C6C6"/>
      </w:tblBorders>
      <w:tblCellMar>
        <w:top w:w="142" w:type="dxa"/>
        <w:left w:w="108" w:type="dxa"/>
        <w:bottom w:w="142" w:type="dxa"/>
        <w:right w:w="108" w:type="dxa"/>
      </w:tblCellMar>
    </w:tblPr>
    <w:trPr>
      <w:cantSplit/>
    </w:trPr>
  </w:style>
  <w:style w:type="table" w:customStyle="1" w:styleId="ECHRTableMemo">
    <w:name w:val="ECHR_Table_Memo"/>
    <w:uiPriority w:val="99"/>
    <w:rsid w:val="00210338"/>
    <w:rPr>
      <w:sz w:val="20"/>
      <w:szCs w:val="20"/>
    </w:rPr>
    <w:tblPr>
      <w:jc w:val="center"/>
      <w:tblInd w:w="0" w:type="dxa"/>
      <w:tblCellMar>
        <w:top w:w="113" w:type="dxa"/>
        <w:left w:w="0" w:type="dxa"/>
        <w:bottom w:w="113" w:type="dxa"/>
        <w:right w:w="0" w:type="dxa"/>
      </w:tblCellMar>
    </w:tblPr>
    <w:trPr>
      <w:jc w:val="center"/>
    </w:trPr>
    <w:tblStylePr w:type="lastRow">
      <w:rPr>
        <w:rFonts w:cs="Times New Roman"/>
      </w:rPr>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uiPriority w:val="99"/>
    <w:rsid w:val="0090506B"/>
    <w:rPr>
      <w:sz w:val="20"/>
      <w:szCs w:val="20"/>
    </w:rPr>
    <w:tblPr>
      <w:jc w:val="center"/>
      <w:tblInd w:w="0" w:type="dxa"/>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left w:w="108" w:type="dxa"/>
        <w:bottom w:w="57" w:type="dxa"/>
        <w:right w:w="108" w:type="dxa"/>
      </w:tblCellMar>
    </w:tblPr>
    <w:trPr>
      <w:jc w:val="center"/>
    </w:trPr>
    <w:tblStylePr w:type="firstRow">
      <w:pPr>
        <w:spacing w:beforeLines="0"/>
        <w:ind w:leftChars="0" w:left="0"/>
      </w:pPr>
      <w:rPr>
        <w:rFonts w:ascii="Times New Roman" w:hAnsi="Times New Roman" w:cs="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C333A0"/>
    <w:pPr>
      <w:spacing w:before="120"/>
    </w:pPr>
    <w:rPr>
      <w:rFonts w:eastAsia="MS Gothic"/>
      <w:b/>
      <w:bCs/>
      <w:color w:val="474747"/>
      <w:szCs w:val="24"/>
    </w:rPr>
  </w:style>
  <w:style w:type="paragraph" w:customStyle="1" w:styleId="OpiHi">
    <w:name w:val="Opi_H_i"/>
    <w:basedOn w:val="ECHRHeading4"/>
    <w:uiPriority w:val="99"/>
    <w:semiHidden/>
    <w:rsid w:val="006544C4"/>
    <w:pPr>
      <w:ind w:left="1037" w:hanging="357"/>
      <w:outlineLvl w:val="4"/>
    </w:pPr>
    <w:rPr>
      <w:b w:val="0"/>
      <w:i/>
    </w:rPr>
  </w:style>
  <w:style w:type="paragraph" w:customStyle="1" w:styleId="DummyStyle">
    <w:name w:val="Dummy_Style"/>
    <w:basedOn w:val="Normal"/>
    <w:uiPriority w:val="99"/>
    <w:semiHidden/>
    <w:rsid w:val="006544C4"/>
    <w:rPr>
      <w:color w:val="00B050"/>
    </w:rPr>
  </w:style>
  <w:style w:type="paragraph" w:styleId="Subtitle">
    <w:name w:val="Subtitle"/>
    <w:basedOn w:val="Normal"/>
    <w:next w:val="Normal"/>
    <w:link w:val="SubtitleChar"/>
    <w:uiPriority w:val="99"/>
    <w:qFormat/>
    <w:rsid w:val="006544C4"/>
    <w:pPr>
      <w:spacing w:after="600"/>
    </w:pPr>
    <w:rPr>
      <w:rFonts w:eastAsia="MS Gothic"/>
      <w:i/>
      <w:iCs/>
      <w:spacing w:val="13"/>
      <w:szCs w:val="24"/>
    </w:rPr>
  </w:style>
  <w:style w:type="character" w:customStyle="1" w:styleId="SubtitleChar">
    <w:name w:val="Subtitle Char"/>
    <w:basedOn w:val="DefaultParagraphFont"/>
    <w:link w:val="Subtitle"/>
    <w:uiPriority w:val="99"/>
    <w:semiHidden/>
    <w:locked/>
    <w:rsid w:val="006544C4"/>
    <w:rPr>
      <w:rFonts w:ascii="Times New Roman" w:eastAsia="MS Gothic" w:hAnsi="Times New Roman" w:cs="Times New Roman"/>
      <w:i/>
      <w:iCs/>
      <w:spacing w:val="13"/>
      <w:sz w:val="24"/>
      <w:szCs w:val="24"/>
    </w:rPr>
  </w:style>
  <w:style w:type="paragraph" w:customStyle="1" w:styleId="ECHRPara">
    <w:name w:val="ECHR_Para"/>
    <w:aliases w:val="Ju_Para,Left,First line:  0 cm,Para"/>
    <w:basedOn w:val="Normal"/>
    <w:link w:val="JuParaCar"/>
    <w:uiPriority w:val="99"/>
    <w:rsid w:val="004047FE"/>
    <w:pPr>
      <w:ind w:firstLine="284"/>
    </w:pPr>
    <w:rPr>
      <w:szCs w:val="20"/>
      <w:lang w:val="it-IT" w:eastAsia="it-IT"/>
    </w:rPr>
  </w:style>
  <w:style w:type="table" w:customStyle="1" w:styleId="ECHRTableSimpleBox">
    <w:name w:val="ECHR_Table_Simple_Box"/>
    <w:uiPriority w:val="99"/>
    <w:rsid w:val="00AE354C"/>
    <w:rPr>
      <w:sz w:val="20"/>
      <w:szCs w:val="20"/>
    </w:rPr>
    <w:tblPr>
      <w:tblInd w:w="0" w:type="dxa"/>
      <w:tblBorders>
        <w:top w:val="single" w:sz="4" w:space="0" w:color="9F9F9F"/>
        <w:left w:val="single" w:sz="4" w:space="0" w:color="9F9F9F"/>
        <w:bottom w:val="single" w:sz="4" w:space="0" w:color="9F9F9F"/>
        <w:right w:val="single" w:sz="4" w:space="0" w:color="9F9F9F"/>
      </w:tblBorders>
      <w:tblCellMar>
        <w:top w:w="113" w:type="dxa"/>
        <w:left w:w="108" w:type="dxa"/>
        <w:bottom w:w="113" w:type="dxa"/>
        <w:right w:w="108" w:type="dxa"/>
      </w:tblCellMar>
    </w:tblPr>
  </w:style>
  <w:style w:type="table" w:customStyle="1" w:styleId="ECHRTableNoLines">
    <w:name w:val="ECHR_Table_No_Lines"/>
    <w:uiPriority w:val="99"/>
    <w:rsid w:val="00F218EF"/>
    <w:rPr>
      <w:sz w:val="20"/>
      <w:szCs w:val="20"/>
    </w:rPr>
    <w:tblPr>
      <w:tblInd w:w="0" w:type="dxa"/>
      <w:tblCellMar>
        <w:top w:w="85" w:type="dxa"/>
        <w:left w:w="142" w:type="dxa"/>
        <w:bottom w:w="28" w:type="dxa"/>
        <w:right w:w="142" w:type="dxa"/>
      </w:tblCellMar>
    </w:tblPr>
    <w:tblStylePr w:type="firstRow">
      <w:rPr>
        <w:rFonts w:ascii="Times New Roman" w:hAnsi="Times New Roman" w:cs="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rPr>
        <w:rFonts w:cs="Times New Roman"/>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ForInternalUse">
    <w:name w:val="ECHR_Table_For_Internal_Use"/>
    <w:uiPriority w:val="99"/>
    <w:rsid w:val="005474E7"/>
    <w:rPr>
      <w:color w:val="636363"/>
      <w:sz w:val="18"/>
      <w:szCs w:val="20"/>
    </w:rPr>
    <w:tblPr>
      <w:tblStyleColBandSize w:val="1"/>
      <w:jc w:val="right"/>
      <w:tblInd w:w="0" w:type="dxa"/>
      <w:tblCellMar>
        <w:top w:w="113" w:type="dxa"/>
        <w:left w:w="108" w:type="dxa"/>
        <w:bottom w:w="28" w:type="dxa"/>
        <w:right w:w="108" w:type="dxa"/>
      </w:tblCellMar>
    </w:tblPr>
    <w:trPr>
      <w:jc w:val="right"/>
    </w:trPr>
    <w:tblStylePr w:type="firstRow">
      <w:rPr>
        <w:rFonts w:cs="Times New Roman"/>
        <w:b/>
      </w:rPr>
    </w:tblStylePr>
    <w:tblStylePr w:type="lastCol">
      <w:pPr>
        <w:jc w:val="right"/>
      </w:pPr>
      <w:rPr>
        <w:rFonts w:cs="Times New Roman"/>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rPr>
        <w:rFonts w:cs="Times New Roman"/>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uiPriority w:val="99"/>
    <w:rsid w:val="00520BAA"/>
    <w:rPr>
      <w:sz w:val="20"/>
      <w:szCs w:val="20"/>
    </w:rPr>
    <w:tblPr>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tblStylePr w:type="firstRow">
      <w:rPr>
        <w:rFonts w:cs="Times New Roman"/>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HeaderTable">
    <w:name w:val="ECHR_Header_Table"/>
    <w:uiPriority w:val="99"/>
    <w:rsid w:val="00661971"/>
    <w:rPr>
      <w:sz w:val="20"/>
      <w:szCs w:val="20"/>
    </w:rPr>
    <w:tblPr>
      <w:tblInd w:w="-680" w:type="dxa"/>
      <w:tblBorders>
        <w:bottom w:val="single" w:sz="6" w:space="0" w:color="949494"/>
      </w:tblBorders>
      <w:tblCellMar>
        <w:top w:w="0" w:type="dxa"/>
        <w:left w:w="0" w:type="dxa"/>
        <w:bottom w:w="28" w:type="dxa"/>
        <w:right w:w="0" w:type="dxa"/>
      </w:tblCellMar>
    </w:tblPr>
    <w:tblStylePr w:type="lastCol">
      <w:pPr>
        <w:jc w:val="both"/>
      </w:pPr>
      <w:rPr>
        <w:rFonts w:cs="Times New Roman"/>
      </w:rPr>
    </w:tblStylePr>
  </w:style>
  <w:style w:type="paragraph" w:styleId="Bibliography">
    <w:name w:val="Bibliography"/>
    <w:basedOn w:val="Normal"/>
    <w:next w:val="Normal"/>
    <w:uiPriority w:val="99"/>
    <w:semiHidden/>
    <w:rsid w:val="006544C4"/>
  </w:style>
  <w:style w:type="paragraph" w:styleId="BlockText">
    <w:name w:val="Block Text"/>
    <w:basedOn w:val="Normal"/>
    <w:uiPriority w:val="99"/>
    <w:semiHidden/>
    <w:rsid w:val="006544C4"/>
    <w:pPr>
      <w:pBdr>
        <w:top w:val="single" w:sz="2" w:space="10" w:color="0072BC" w:shadow="1"/>
        <w:left w:val="single" w:sz="2" w:space="10" w:color="0072BC" w:shadow="1"/>
        <w:bottom w:val="single" w:sz="2" w:space="10" w:color="0072BC" w:shadow="1"/>
        <w:right w:val="single" w:sz="2" w:space="10" w:color="0072BC" w:shadow="1"/>
      </w:pBdr>
      <w:ind w:left="1152" w:right="1152"/>
    </w:pPr>
    <w:rPr>
      <w:i/>
      <w:iCs/>
      <w:color w:val="0072BC"/>
    </w:rPr>
  </w:style>
  <w:style w:type="table" w:customStyle="1" w:styleId="ECHRTableOddBanded">
    <w:name w:val="ECHR_Table_Odd_Banded"/>
    <w:uiPriority w:val="99"/>
    <w:rsid w:val="00860B03"/>
    <w:rPr>
      <w:sz w:val="20"/>
      <w:szCs w:val="20"/>
    </w:rPr>
    <w:tblPr>
      <w:tblStyleRowBandSize w:val="1"/>
      <w:tblStyleColBandSize w:val="1"/>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tblStylePr w:type="firstRow">
      <w:rPr>
        <w:rFonts w:ascii="Times New Roman" w:hAnsi="Times New Roman" w:cs="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rPr>
        <w:rFonts w:cs="Times New Roman"/>
      </w:rPr>
      <w:tblPr/>
      <w:tcPr>
        <w:tcBorders>
          <w:top w:val="nil"/>
          <w:left w:val="nil"/>
          <w:bottom w:val="nil"/>
          <w:right w:val="nil"/>
          <w:insideH w:val="nil"/>
          <w:insideV w:val="nil"/>
          <w:tl2br w:val="nil"/>
          <w:tr2bl w:val="nil"/>
        </w:tcBorders>
        <w:shd w:val="clear" w:color="auto" w:fill="DFDFDF"/>
      </w:tcPr>
    </w:tblStylePr>
    <w:tblStylePr w:type="band1Horz">
      <w:rPr>
        <w:rFonts w:cs="Times New Roman"/>
        <w:b/>
      </w:rPr>
      <w:tblPr/>
      <w:tcPr>
        <w:shd w:val="clear" w:color="auto" w:fill="DFDFDF"/>
      </w:tcPr>
    </w:tblStylePr>
  </w:style>
  <w:style w:type="paragraph" w:styleId="BodyText">
    <w:name w:val="Body Text"/>
    <w:basedOn w:val="Normal"/>
    <w:link w:val="BodyTextChar"/>
    <w:uiPriority w:val="99"/>
    <w:semiHidden/>
    <w:rsid w:val="006544C4"/>
    <w:pPr>
      <w:spacing w:after="120"/>
    </w:pPr>
  </w:style>
  <w:style w:type="character" w:customStyle="1" w:styleId="BodyTextChar">
    <w:name w:val="Body Text Char"/>
    <w:basedOn w:val="DefaultParagraphFont"/>
    <w:link w:val="BodyText"/>
    <w:uiPriority w:val="99"/>
    <w:semiHidden/>
    <w:locked/>
    <w:rsid w:val="006544C4"/>
    <w:rPr>
      <w:rFonts w:eastAsia="MS Mincho" w:cs="Times New Roman"/>
      <w:sz w:val="24"/>
    </w:rPr>
  </w:style>
  <w:style w:type="table" w:customStyle="1" w:styleId="ECHRHeaderTableReduced">
    <w:name w:val="ECHR_Header_Table_Reduced"/>
    <w:uiPriority w:val="99"/>
    <w:rsid w:val="00B52BE0"/>
    <w:rPr>
      <w:sz w:val="20"/>
      <w:szCs w:val="20"/>
    </w:rPr>
    <w:tblPr>
      <w:tblInd w:w="-680" w:type="dxa"/>
      <w:tblCellMar>
        <w:top w:w="0" w:type="dxa"/>
        <w:left w:w="0" w:type="dxa"/>
        <w:bottom w:w="0" w:type="dxa"/>
        <w:right w:w="0" w:type="dxa"/>
      </w:tblCellMar>
    </w:tblPr>
    <w:tblStylePr w:type="firstRow">
      <w:rPr>
        <w:rFonts w:cs="Times New Roman"/>
      </w:rPr>
      <w:tblPr/>
      <w:tcPr>
        <w:tcBorders>
          <w:top w:val="nil"/>
          <w:left w:val="nil"/>
          <w:bottom w:val="single" w:sz="6" w:space="0" w:color="949494"/>
          <w:right w:val="nil"/>
          <w:insideH w:val="nil"/>
          <w:insideV w:val="nil"/>
          <w:tl2br w:val="nil"/>
          <w:tr2bl w:val="nil"/>
        </w:tcBorders>
      </w:tcPr>
    </w:tblStylePr>
    <w:tblStylePr w:type="lastRow">
      <w:pPr>
        <w:jc w:val="right"/>
      </w:pPr>
      <w:rPr>
        <w:rFonts w:cs="Times New Roman"/>
      </w:rPr>
      <w:tblPr/>
      <w:tcPr>
        <w:tcBorders>
          <w:top w:val="single" w:sz="6" w:space="0" w:color="949494"/>
          <w:left w:val="nil"/>
          <w:bottom w:val="nil"/>
          <w:right w:val="nil"/>
          <w:insideH w:val="nil"/>
          <w:insideV w:val="nil"/>
          <w:tl2br w:val="nil"/>
          <w:tr2bl w:val="nil"/>
        </w:tcBorders>
      </w:tcPr>
    </w:tblStylePr>
  </w:style>
  <w:style w:type="character" w:styleId="PageNumber">
    <w:name w:val="page number"/>
    <w:basedOn w:val="DefaultParagraphFont"/>
    <w:uiPriority w:val="99"/>
    <w:semiHidden/>
    <w:rsid w:val="006544C4"/>
    <w:rPr>
      <w:rFonts w:ascii="Times New Roman" w:hAnsi="Times New Roman" w:cs="Times New Roman"/>
      <w:sz w:val="18"/>
    </w:rPr>
  </w:style>
  <w:style w:type="character" w:styleId="CommentReference">
    <w:name w:val="annotation reference"/>
    <w:basedOn w:val="DefaultParagraphFont"/>
    <w:uiPriority w:val="99"/>
    <w:semiHidden/>
    <w:rsid w:val="006544C4"/>
    <w:rPr>
      <w:rFonts w:cs="Times New Roman"/>
      <w:sz w:val="16"/>
    </w:rPr>
  </w:style>
  <w:style w:type="paragraph" w:styleId="CommentText">
    <w:name w:val="annotation text"/>
    <w:basedOn w:val="Normal"/>
    <w:link w:val="CommentTextChar"/>
    <w:uiPriority w:val="99"/>
    <w:semiHidden/>
    <w:rsid w:val="006544C4"/>
    <w:rPr>
      <w:sz w:val="20"/>
    </w:rPr>
  </w:style>
  <w:style w:type="character" w:customStyle="1" w:styleId="CommentTextChar">
    <w:name w:val="Comment Text Char"/>
    <w:basedOn w:val="DefaultParagraphFont"/>
    <w:link w:val="CommentText"/>
    <w:uiPriority w:val="99"/>
    <w:semiHidden/>
    <w:locked/>
    <w:rsid w:val="006544C4"/>
    <w:rPr>
      <w:rFonts w:eastAsia="MS Mincho" w:cs="Times New Roman"/>
      <w:sz w:val="20"/>
    </w:rPr>
  </w:style>
  <w:style w:type="paragraph" w:customStyle="1" w:styleId="JuSigned">
    <w:name w:val="Ju_Signed"/>
    <w:basedOn w:val="Normal"/>
    <w:next w:val="JuParaLast"/>
    <w:uiPriority w:val="99"/>
    <w:rsid w:val="006544C4"/>
    <w:pPr>
      <w:tabs>
        <w:tab w:val="center" w:pos="851"/>
        <w:tab w:val="center" w:pos="6407"/>
      </w:tabs>
      <w:spacing w:before="720"/>
      <w:jc w:val="left"/>
    </w:pPr>
  </w:style>
  <w:style w:type="paragraph" w:customStyle="1" w:styleId="JuTitle">
    <w:name w:val="Ju_Title"/>
    <w:basedOn w:val="Normal"/>
    <w:next w:val="Normal"/>
    <w:uiPriority w:val="99"/>
    <w:rsid w:val="006544C4"/>
    <w:pPr>
      <w:spacing w:before="720" w:after="240"/>
      <w:jc w:val="center"/>
      <w:outlineLvl w:val="0"/>
    </w:pPr>
    <w:rPr>
      <w:b/>
      <w:caps/>
    </w:rPr>
  </w:style>
  <w:style w:type="paragraph" w:customStyle="1" w:styleId="DecHTitle">
    <w:name w:val="Dec_H_Title"/>
    <w:basedOn w:val="ECHRTitleCentre1"/>
    <w:uiPriority w:val="99"/>
    <w:rsid w:val="006544C4"/>
  </w:style>
  <w:style w:type="paragraph" w:styleId="ListBullet2">
    <w:name w:val="List Bullet 2"/>
    <w:basedOn w:val="Normal"/>
    <w:uiPriority w:val="99"/>
    <w:semiHidden/>
    <w:rsid w:val="006544C4"/>
    <w:pPr>
      <w:numPr>
        <w:numId w:val="18"/>
      </w:numPr>
      <w:tabs>
        <w:tab w:val="clear" w:pos="926"/>
        <w:tab w:val="num" w:pos="643"/>
      </w:tabs>
      <w:ind w:left="643"/>
      <w:contextualSpacing/>
    </w:pPr>
  </w:style>
  <w:style w:type="paragraph" w:styleId="ListBullet3">
    <w:name w:val="List Bullet 3"/>
    <w:basedOn w:val="Normal"/>
    <w:uiPriority w:val="99"/>
    <w:semiHidden/>
    <w:rsid w:val="006544C4"/>
    <w:pPr>
      <w:numPr>
        <w:numId w:val="19"/>
      </w:numPr>
      <w:tabs>
        <w:tab w:val="clear" w:pos="1209"/>
        <w:tab w:val="num" w:pos="926"/>
      </w:tabs>
      <w:ind w:left="926"/>
      <w:contextualSpacing/>
    </w:pPr>
  </w:style>
  <w:style w:type="paragraph" w:styleId="BodyText2">
    <w:name w:val="Body Text 2"/>
    <w:basedOn w:val="Normal"/>
    <w:link w:val="BodyText2Char"/>
    <w:uiPriority w:val="99"/>
    <w:semiHidden/>
    <w:rsid w:val="006544C4"/>
    <w:pPr>
      <w:spacing w:after="120" w:line="480" w:lineRule="auto"/>
    </w:pPr>
  </w:style>
  <w:style w:type="character" w:customStyle="1" w:styleId="BodyText2Char">
    <w:name w:val="Body Text 2 Char"/>
    <w:basedOn w:val="DefaultParagraphFont"/>
    <w:link w:val="BodyText2"/>
    <w:uiPriority w:val="99"/>
    <w:semiHidden/>
    <w:locked/>
    <w:rsid w:val="006544C4"/>
    <w:rPr>
      <w:rFonts w:eastAsia="MS Mincho" w:cs="Times New Roman"/>
      <w:sz w:val="24"/>
    </w:rPr>
  </w:style>
  <w:style w:type="paragraph" w:styleId="BodyText3">
    <w:name w:val="Body Text 3"/>
    <w:basedOn w:val="Normal"/>
    <w:link w:val="BodyText3Char"/>
    <w:uiPriority w:val="99"/>
    <w:semiHidden/>
    <w:rsid w:val="006544C4"/>
    <w:pPr>
      <w:spacing w:after="120"/>
    </w:pPr>
    <w:rPr>
      <w:sz w:val="16"/>
      <w:szCs w:val="16"/>
    </w:rPr>
  </w:style>
  <w:style w:type="character" w:customStyle="1" w:styleId="BodyText3Char">
    <w:name w:val="Body Text 3 Char"/>
    <w:basedOn w:val="DefaultParagraphFont"/>
    <w:link w:val="BodyText3"/>
    <w:uiPriority w:val="99"/>
    <w:semiHidden/>
    <w:locked/>
    <w:rsid w:val="006544C4"/>
    <w:rPr>
      <w:rFonts w:eastAsia="MS Mincho" w:cs="Times New Roman"/>
      <w:sz w:val="16"/>
      <w:szCs w:val="16"/>
    </w:rPr>
  </w:style>
  <w:style w:type="paragraph" w:styleId="BodyTextFirstIndent">
    <w:name w:val="Body Text First Indent"/>
    <w:basedOn w:val="BodyText"/>
    <w:link w:val="BodyTextFirstIndentChar"/>
    <w:uiPriority w:val="99"/>
    <w:semiHidden/>
    <w:rsid w:val="006544C4"/>
    <w:pPr>
      <w:spacing w:after="0"/>
      <w:ind w:firstLine="360"/>
    </w:pPr>
  </w:style>
  <w:style w:type="character" w:customStyle="1" w:styleId="BodyTextFirstIndentChar">
    <w:name w:val="Body Text First Indent Char"/>
    <w:basedOn w:val="BodyTextChar"/>
    <w:link w:val="BodyTextFirstIndent"/>
    <w:uiPriority w:val="99"/>
    <w:semiHidden/>
    <w:locked/>
    <w:rsid w:val="006544C4"/>
  </w:style>
  <w:style w:type="paragraph" w:styleId="BodyTextIndent">
    <w:name w:val="Body Text Indent"/>
    <w:basedOn w:val="Normal"/>
    <w:link w:val="BodyTextIndentChar"/>
    <w:uiPriority w:val="99"/>
    <w:semiHidden/>
    <w:rsid w:val="006544C4"/>
    <w:pPr>
      <w:spacing w:after="120"/>
      <w:ind w:left="283"/>
    </w:pPr>
  </w:style>
  <w:style w:type="character" w:customStyle="1" w:styleId="BodyTextIndentChar">
    <w:name w:val="Body Text Indent Char"/>
    <w:basedOn w:val="DefaultParagraphFont"/>
    <w:link w:val="BodyTextIndent"/>
    <w:uiPriority w:val="99"/>
    <w:semiHidden/>
    <w:locked/>
    <w:rsid w:val="006544C4"/>
    <w:rPr>
      <w:rFonts w:eastAsia="MS Mincho" w:cs="Times New Roman"/>
      <w:sz w:val="24"/>
    </w:rPr>
  </w:style>
  <w:style w:type="paragraph" w:styleId="BodyTextFirstIndent2">
    <w:name w:val="Body Text First Indent 2"/>
    <w:basedOn w:val="BodyTextIndent"/>
    <w:link w:val="BodyTextFirstIndent2Char"/>
    <w:uiPriority w:val="99"/>
    <w:semiHidden/>
    <w:rsid w:val="006544C4"/>
    <w:pPr>
      <w:spacing w:after="0"/>
      <w:ind w:left="360" w:firstLine="360"/>
    </w:pPr>
  </w:style>
  <w:style w:type="character" w:customStyle="1" w:styleId="BodyTextFirstIndent2Char">
    <w:name w:val="Body Text First Indent 2 Char"/>
    <w:basedOn w:val="BodyTextIndentChar"/>
    <w:link w:val="BodyTextFirstIndent2"/>
    <w:uiPriority w:val="99"/>
    <w:semiHidden/>
    <w:locked/>
    <w:rsid w:val="006544C4"/>
  </w:style>
  <w:style w:type="paragraph" w:styleId="BodyTextIndent2">
    <w:name w:val="Body Text Indent 2"/>
    <w:basedOn w:val="Normal"/>
    <w:link w:val="BodyTextIndent2Char"/>
    <w:uiPriority w:val="99"/>
    <w:semiHidden/>
    <w:rsid w:val="006544C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544C4"/>
    <w:rPr>
      <w:rFonts w:eastAsia="MS Mincho" w:cs="Times New Roman"/>
      <w:sz w:val="24"/>
    </w:rPr>
  </w:style>
  <w:style w:type="paragraph" w:styleId="BodyTextIndent3">
    <w:name w:val="Body Text Indent 3"/>
    <w:basedOn w:val="Normal"/>
    <w:link w:val="BodyTextIndent3Char"/>
    <w:uiPriority w:val="99"/>
    <w:semiHidden/>
    <w:rsid w:val="006544C4"/>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6544C4"/>
    <w:rPr>
      <w:rFonts w:eastAsia="MS Mincho" w:cs="Times New Roman"/>
      <w:sz w:val="16"/>
      <w:szCs w:val="16"/>
    </w:rPr>
  </w:style>
  <w:style w:type="paragraph" w:styleId="Caption">
    <w:name w:val="caption"/>
    <w:basedOn w:val="Normal"/>
    <w:next w:val="Normal"/>
    <w:uiPriority w:val="99"/>
    <w:qFormat/>
    <w:rsid w:val="006544C4"/>
    <w:pPr>
      <w:spacing w:after="200"/>
    </w:pPr>
    <w:rPr>
      <w:b/>
      <w:bCs/>
      <w:color w:val="0072BC"/>
      <w:sz w:val="18"/>
      <w:szCs w:val="18"/>
    </w:rPr>
  </w:style>
  <w:style w:type="paragraph" w:styleId="Closing">
    <w:name w:val="Closing"/>
    <w:basedOn w:val="Normal"/>
    <w:link w:val="ClosingChar"/>
    <w:uiPriority w:val="99"/>
    <w:semiHidden/>
    <w:rsid w:val="006544C4"/>
    <w:pPr>
      <w:ind w:left="4252"/>
    </w:pPr>
  </w:style>
  <w:style w:type="character" w:customStyle="1" w:styleId="ClosingChar">
    <w:name w:val="Closing Char"/>
    <w:basedOn w:val="DefaultParagraphFont"/>
    <w:link w:val="Closing"/>
    <w:uiPriority w:val="99"/>
    <w:semiHidden/>
    <w:locked/>
    <w:rsid w:val="006544C4"/>
    <w:rPr>
      <w:rFonts w:eastAsia="MS Mincho" w:cs="Times New Roman"/>
      <w:sz w:val="24"/>
    </w:rPr>
  </w:style>
  <w:style w:type="table" w:styleId="ColorfulGrid">
    <w:name w:val="Colorful Grid"/>
    <w:basedOn w:val="TableNormal"/>
    <w:uiPriority w:val="99"/>
    <w:semiHidden/>
    <w:rsid w:val="006544C4"/>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0072BC"/>
      </w:rPr>
      <w:tblPr/>
      <w:tcPr>
        <w:shd w:val="clear" w:color="auto" w:fill="000000"/>
      </w:tcPr>
    </w:tblStylePr>
    <w:tblStylePr w:type="lastCol">
      <w:rPr>
        <w:rFonts w:cs="Times New Roman"/>
        <w:color w:val="0072BC"/>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semiHidden/>
    <w:rsid w:val="006544C4"/>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BEE5FF"/>
    </w:tcPr>
    <w:tblStylePr w:type="firstRow">
      <w:rPr>
        <w:rFonts w:cs="Times New Roman"/>
        <w:b/>
        <w:bCs/>
      </w:rPr>
      <w:tblPr/>
      <w:tcPr>
        <w:shd w:val="clear" w:color="auto" w:fill="7ECBFF"/>
      </w:tcPr>
    </w:tblStylePr>
    <w:tblStylePr w:type="lastRow">
      <w:rPr>
        <w:rFonts w:cs="Times New Roman"/>
        <w:b/>
        <w:bCs/>
        <w:color w:val="000000"/>
      </w:rPr>
      <w:tblPr/>
      <w:tcPr>
        <w:shd w:val="clear" w:color="auto" w:fill="7ECBFF"/>
      </w:tcPr>
    </w:tblStylePr>
    <w:tblStylePr w:type="firstCol">
      <w:rPr>
        <w:rFonts w:cs="Times New Roman"/>
        <w:color w:val="0072BC"/>
      </w:rPr>
      <w:tblPr/>
      <w:tcPr>
        <w:shd w:val="clear" w:color="auto" w:fill="00548C"/>
      </w:tcPr>
    </w:tblStylePr>
    <w:tblStylePr w:type="lastCol">
      <w:rPr>
        <w:rFonts w:cs="Times New Roman"/>
        <w:color w:val="0072BC"/>
      </w:rPr>
      <w:tblPr/>
      <w:tcPr>
        <w:shd w:val="clear" w:color="auto" w:fill="00548C"/>
      </w:tc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ColorfulGrid-Accent2">
    <w:name w:val="Colorful Grid Accent 2"/>
    <w:basedOn w:val="TableNormal"/>
    <w:uiPriority w:val="99"/>
    <w:semiHidden/>
    <w:rsid w:val="006544C4"/>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FFBFBF"/>
    </w:tcPr>
    <w:tblStylePr w:type="firstRow">
      <w:rPr>
        <w:rFonts w:cs="Times New Roman"/>
        <w:b/>
        <w:bCs/>
      </w:rPr>
      <w:tblPr/>
      <w:tcPr>
        <w:shd w:val="clear" w:color="auto" w:fill="FF7F7F"/>
      </w:tcPr>
    </w:tblStylePr>
    <w:tblStylePr w:type="lastRow">
      <w:rPr>
        <w:rFonts w:cs="Times New Roman"/>
        <w:b/>
        <w:bCs/>
        <w:color w:val="000000"/>
      </w:rPr>
      <w:tblPr/>
      <w:tcPr>
        <w:shd w:val="clear" w:color="auto" w:fill="FF7F7F"/>
      </w:tcPr>
    </w:tblStylePr>
    <w:tblStylePr w:type="firstCol">
      <w:rPr>
        <w:rFonts w:cs="Times New Roman"/>
        <w:color w:val="0072BC"/>
      </w:rPr>
      <w:tblPr/>
      <w:tcPr>
        <w:shd w:val="clear" w:color="auto" w:fill="8F0000"/>
      </w:tcPr>
    </w:tblStylePr>
    <w:tblStylePr w:type="lastCol">
      <w:rPr>
        <w:rFonts w:cs="Times New Roman"/>
        <w:color w:val="0072BC"/>
      </w:rPr>
      <w:tblPr/>
      <w:tcPr>
        <w:shd w:val="clear" w:color="auto" w:fill="8F0000"/>
      </w:tc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ColorfulGrid-Accent3">
    <w:name w:val="Colorful Grid Accent 3"/>
    <w:basedOn w:val="TableNormal"/>
    <w:uiPriority w:val="99"/>
    <w:semiHidden/>
    <w:rsid w:val="006544C4"/>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4">
    <w:name w:val="Colorful Grid Accent 4"/>
    <w:basedOn w:val="TableNormal"/>
    <w:uiPriority w:val="99"/>
    <w:semiHidden/>
    <w:rsid w:val="006544C4"/>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EAEAEA"/>
    </w:tcPr>
    <w:tblStylePr w:type="firstRow">
      <w:rPr>
        <w:rFonts w:cs="Times New Roman"/>
        <w:b/>
        <w:bCs/>
      </w:rPr>
      <w:tblPr/>
      <w:tcPr>
        <w:shd w:val="clear" w:color="auto" w:fill="D5D5D5"/>
      </w:tcPr>
    </w:tblStylePr>
    <w:tblStylePr w:type="lastRow">
      <w:rPr>
        <w:rFonts w:cs="Times New Roman"/>
        <w:b/>
        <w:bCs/>
        <w:color w:val="000000"/>
      </w:rPr>
      <w:tblPr/>
      <w:tcPr>
        <w:shd w:val="clear" w:color="auto" w:fill="D5D5D5"/>
      </w:tcPr>
    </w:tblStylePr>
    <w:tblStylePr w:type="firstCol">
      <w:rPr>
        <w:rFonts w:cs="Times New Roman"/>
        <w:color w:val="0072BC"/>
      </w:rPr>
      <w:tblPr/>
      <w:tcPr>
        <w:shd w:val="clear" w:color="auto" w:fill="707070"/>
      </w:tcPr>
    </w:tblStylePr>
    <w:tblStylePr w:type="lastCol">
      <w:rPr>
        <w:rFonts w:cs="Times New Roman"/>
        <w:color w:val="0072BC"/>
      </w:rPr>
      <w:tblPr/>
      <w:tcPr>
        <w:shd w:val="clear" w:color="auto" w:fill="707070"/>
      </w:tc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ColorfulGrid-Accent5">
    <w:name w:val="Colorful Grid Accent 5"/>
    <w:basedOn w:val="TableNormal"/>
    <w:uiPriority w:val="99"/>
    <w:semiHidden/>
    <w:rsid w:val="006544C4"/>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6">
    <w:name w:val="Colorful Grid Accent 6"/>
    <w:basedOn w:val="TableNormal"/>
    <w:uiPriority w:val="99"/>
    <w:semiHidden/>
    <w:rsid w:val="006544C4"/>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BDBDB"/>
    </w:tcPr>
    <w:tblStylePr w:type="firstRow">
      <w:rPr>
        <w:rFonts w:cs="Times New Roman"/>
        <w:b/>
        <w:bCs/>
      </w:rPr>
      <w:tblPr/>
      <w:tcPr>
        <w:shd w:val="clear" w:color="auto" w:fill="B7B7B7"/>
      </w:tcPr>
    </w:tblStylePr>
    <w:tblStylePr w:type="lastRow">
      <w:rPr>
        <w:rFonts w:cs="Times New Roman"/>
        <w:b/>
        <w:bCs/>
        <w:color w:val="000000"/>
      </w:rPr>
      <w:tblPr/>
      <w:tcPr>
        <w:shd w:val="clear" w:color="auto" w:fill="B7B7B7"/>
      </w:tcPr>
    </w:tblStylePr>
    <w:tblStylePr w:type="firstCol">
      <w:rPr>
        <w:rFonts w:cs="Times New Roman"/>
        <w:color w:val="0072BC"/>
      </w:rPr>
      <w:tblPr/>
      <w:tcPr>
        <w:shd w:val="clear" w:color="auto" w:fill="393939"/>
      </w:tcPr>
    </w:tblStylePr>
    <w:tblStylePr w:type="lastCol">
      <w:rPr>
        <w:rFonts w:cs="Times New Roman"/>
        <w:color w:val="0072BC"/>
      </w:rPr>
      <w:tblPr/>
      <w:tcPr>
        <w:shd w:val="clear" w:color="auto" w:fill="393939"/>
      </w:tc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ColorfulList">
    <w:name w:val="Colorful List"/>
    <w:basedOn w:val="TableNormal"/>
    <w:uiPriority w:val="99"/>
    <w:semiHidden/>
    <w:rsid w:val="006544C4"/>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semiHidden/>
    <w:rsid w:val="006544C4"/>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DFF2F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AFDFFF"/>
      </w:tcPr>
    </w:tblStylePr>
    <w:tblStylePr w:type="band1Horz">
      <w:rPr>
        <w:rFonts w:cs="Times New Roman"/>
      </w:rPr>
      <w:tblPr/>
      <w:tcPr>
        <w:shd w:val="clear" w:color="auto" w:fill="BEE5FF"/>
      </w:tcPr>
    </w:tblStylePr>
  </w:style>
  <w:style w:type="table" w:styleId="ColorfulList-Accent2">
    <w:name w:val="Colorful List Accent 2"/>
    <w:basedOn w:val="TableNormal"/>
    <w:uiPriority w:val="99"/>
    <w:semiHidden/>
    <w:rsid w:val="006544C4"/>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FDFD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B0B0"/>
      </w:tcPr>
    </w:tblStylePr>
    <w:tblStylePr w:type="band1Horz">
      <w:rPr>
        <w:rFonts w:cs="Times New Roman"/>
      </w:rPr>
      <w:tblPr/>
      <w:tcPr>
        <w:shd w:val="clear" w:color="auto" w:fill="FFBFBF"/>
      </w:tcPr>
    </w:tblStylePr>
  </w:style>
  <w:style w:type="table" w:styleId="ColorfulList-Accent3">
    <w:name w:val="Colorful List Accent 3"/>
    <w:basedOn w:val="TableNormal"/>
    <w:uiPriority w:val="99"/>
    <w:semiHidden/>
    <w:rsid w:val="006544C4"/>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rFonts w:cs="Times New Roman"/>
        <w:b/>
        <w:bCs/>
        <w:color w:val="0072BC"/>
      </w:rPr>
      <w:tblPr/>
      <w:tcPr>
        <w:tcBorders>
          <w:bottom w:val="single" w:sz="12" w:space="0" w:color="0072BC"/>
        </w:tcBorders>
        <w:shd w:val="clear" w:color="auto" w:fill="787878"/>
      </w:tcPr>
    </w:tblStylePr>
    <w:tblStylePr w:type="lastRow">
      <w:rPr>
        <w:rFonts w:cs="Times New Roman"/>
        <w:b/>
        <w:bCs/>
        <w:color w:val="787878"/>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4">
    <w:name w:val="Colorful List Accent 4"/>
    <w:basedOn w:val="TableNormal"/>
    <w:uiPriority w:val="99"/>
    <w:semiHidden/>
    <w:rsid w:val="006544C4"/>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4F4F4"/>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5E5E5"/>
      </w:tcPr>
    </w:tblStylePr>
    <w:tblStylePr w:type="band1Horz">
      <w:rPr>
        <w:rFonts w:cs="Times New Roman"/>
      </w:rPr>
      <w:tblPr/>
      <w:tcPr>
        <w:shd w:val="clear" w:color="auto" w:fill="EAEAEA"/>
      </w:tcPr>
    </w:tblStylePr>
  </w:style>
  <w:style w:type="table" w:styleId="ColorfulList-Accent5">
    <w:name w:val="Colorful List Accent 5"/>
    <w:basedOn w:val="TableNormal"/>
    <w:uiPriority w:val="99"/>
    <w:semiHidden/>
    <w:rsid w:val="006544C4"/>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rFonts w:cs="Times New Roman"/>
        <w:b/>
        <w:bCs/>
        <w:color w:val="0072BC"/>
      </w:rPr>
      <w:tblPr/>
      <w:tcPr>
        <w:tcBorders>
          <w:bottom w:val="single" w:sz="12" w:space="0" w:color="0072BC"/>
        </w:tcBorders>
        <w:shd w:val="clear" w:color="auto" w:fill="3D3D3D"/>
      </w:tcPr>
    </w:tblStylePr>
    <w:tblStylePr w:type="lastRow">
      <w:rPr>
        <w:rFonts w:cs="Times New Roman"/>
        <w:b/>
        <w:bCs/>
        <w:color w:val="3D3D3D"/>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6">
    <w:name w:val="Colorful List Accent 6"/>
    <w:basedOn w:val="TableNormal"/>
    <w:uiPriority w:val="99"/>
    <w:semiHidden/>
    <w:rsid w:val="006544C4"/>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EDED"/>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3D3"/>
      </w:tcPr>
    </w:tblStylePr>
    <w:tblStylePr w:type="band1Horz">
      <w:rPr>
        <w:rFonts w:cs="Times New Roman"/>
      </w:rPr>
      <w:tblPr/>
      <w:tcPr>
        <w:shd w:val="clear" w:color="auto" w:fill="DBDBDB"/>
      </w:tcPr>
    </w:tblStylePr>
  </w:style>
  <w:style w:type="table" w:styleId="ColorfulShading">
    <w:name w:val="Colorful Shading"/>
    <w:basedOn w:val="TableNormal"/>
    <w:uiPriority w:val="99"/>
    <w:semiHidden/>
    <w:rsid w:val="006544C4"/>
    <w:rPr>
      <w:color w:val="000000"/>
      <w:sz w:val="20"/>
      <w:szCs w:val="20"/>
    </w:rPr>
    <w:tblPr>
      <w:tblStyleRowBandSize w:val="1"/>
      <w:tblStyleColBandSize w:val="1"/>
      <w:tblInd w:w="0" w:type="dxa"/>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CellMar>
        <w:top w:w="0" w:type="dxa"/>
        <w:left w:w="108" w:type="dxa"/>
        <w:bottom w:w="0" w:type="dxa"/>
        <w:right w:w="108" w:type="dxa"/>
      </w:tblCellMar>
    </w:tblPr>
    <w:tcPr>
      <w:shd w:val="clear" w:color="auto" w:fill="E6E6E6"/>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0000"/>
      </w:tcPr>
    </w:tblStylePr>
    <w:tblStylePr w:type="firstCol">
      <w:rPr>
        <w:rFonts w:cs="Times New Roman"/>
        <w:color w:val="0072BC"/>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0072BC"/>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semiHidden/>
    <w:rsid w:val="006544C4"/>
    <w:rPr>
      <w:color w:val="000000"/>
      <w:sz w:val="20"/>
      <w:szCs w:val="20"/>
    </w:rPr>
    <w:tblPr>
      <w:tblStyleRowBandSize w:val="1"/>
      <w:tblStyleColBandSize w:val="1"/>
      <w:tblInd w:w="0" w:type="dxa"/>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CellMar>
        <w:top w:w="0" w:type="dxa"/>
        <w:left w:w="108" w:type="dxa"/>
        <w:bottom w:w="0" w:type="dxa"/>
        <w:right w:w="108" w:type="dxa"/>
      </w:tblCellMar>
    </w:tblPr>
    <w:tcPr>
      <w:shd w:val="clear" w:color="auto" w:fill="DFF2F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4470"/>
      </w:tcPr>
    </w:tblStylePr>
    <w:tblStylePr w:type="firstCol">
      <w:rPr>
        <w:rFonts w:cs="Times New Roman"/>
        <w:color w:val="0072BC"/>
      </w:rPr>
      <w:tblPr/>
      <w:tcPr>
        <w:tcBorders>
          <w:top w:val="nil"/>
          <w:left w:val="nil"/>
          <w:bottom w:val="nil"/>
          <w:right w:val="nil"/>
          <w:insideH w:val="single" w:sz="4" w:space="0" w:color="004470"/>
          <w:insideV w:val="nil"/>
        </w:tcBorders>
        <w:shd w:val="clear" w:color="auto" w:fill="004470"/>
      </w:tcPr>
    </w:tblStylePr>
    <w:tblStylePr w:type="lastCol">
      <w:rPr>
        <w:rFonts w:cs="Times New Roman"/>
        <w:color w:val="0072BC"/>
      </w:rPr>
      <w:tblPr/>
      <w:tcPr>
        <w:tcBorders>
          <w:top w:val="nil"/>
          <w:left w:val="nil"/>
          <w:bottom w:val="nil"/>
          <w:right w:val="nil"/>
          <w:insideH w:val="nil"/>
          <w:insideV w:val="nil"/>
        </w:tcBorders>
        <w:shd w:val="clear" w:color="auto" w:fill="004470"/>
      </w:tcPr>
    </w:tblStylePr>
    <w:tblStylePr w:type="band1Vert">
      <w:rPr>
        <w:rFonts w:cs="Times New Roman"/>
      </w:rPr>
      <w:tblPr/>
      <w:tcPr>
        <w:shd w:val="clear" w:color="auto" w:fill="7ECBFF"/>
      </w:tcPr>
    </w:tblStylePr>
    <w:tblStylePr w:type="band1Horz">
      <w:rPr>
        <w:rFonts w:cs="Times New Roman"/>
      </w:rPr>
      <w:tblPr/>
      <w:tcPr>
        <w:shd w:val="clear" w:color="auto" w:fill="5EBFFF"/>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semiHidden/>
    <w:rsid w:val="006544C4"/>
    <w:rPr>
      <w:color w:val="000000"/>
      <w:sz w:val="20"/>
      <w:szCs w:val="20"/>
    </w:rPr>
    <w:tblPr>
      <w:tblStyleRowBandSize w:val="1"/>
      <w:tblStyleColBandSize w:val="1"/>
      <w:tblInd w:w="0" w:type="dxa"/>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CellMar>
        <w:top w:w="0" w:type="dxa"/>
        <w:left w:w="108" w:type="dxa"/>
        <w:bottom w:w="0" w:type="dxa"/>
        <w:right w:w="108" w:type="dxa"/>
      </w:tblCellMar>
    </w:tblPr>
    <w:tcPr>
      <w:shd w:val="clear" w:color="auto" w:fill="FFDFD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730000"/>
      </w:tcPr>
    </w:tblStylePr>
    <w:tblStylePr w:type="firstCol">
      <w:rPr>
        <w:rFonts w:cs="Times New Roman"/>
        <w:color w:val="0072BC"/>
      </w:rPr>
      <w:tblPr/>
      <w:tcPr>
        <w:tcBorders>
          <w:top w:val="nil"/>
          <w:left w:val="nil"/>
          <w:bottom w:val="nil"/>
          <w:right w:val="nil"/>
          <w:insideH w:val="single" w:sz="4" w:space="0" w:color="730000"/>
          <w:insideV w:val="nil"/>
        </w:tcBorders>
        <w:shd w:val="clear" w:color="auto" w:fill="730000"/>
      </w:tcPr>
    </w:tblStylePr>
    <w:tblStylePr w:type="lastCol">
      <w:rPr>
        <w:rFonts w:cs="Times New Roman"/>
        <w:color w:val="0072BC"/>
      </w:rPr>
      <w:tblPr/>
      <w:tcPr>
        <w:tcBorders>
          <w:top w:val="nil"/>
          <w:left w:val="nil"/>
          <w:bottom w:val="nil"/>
          <w:right w:val="nil"/>
          <w:insideH w:val="nil"/>
          <w:insideV w:val="nil"/>
        </w:tcBorders>
        <w:shd w:val="clear" w:color="auto" w:fill="730000"/>
      </w:tcPr>
    </w:tblStylePr>
    <w:tblStylePr w:type="band1Vert">
      <w:rPr>
        <w:rFonts w:cs="Times New Roman"/>
      </w:rPr>
      <w:tblPr/>
      <w:tcPr>
        <w:shd w:val="clear" w:color="auto" w:fill="FF7F7F"/>
      </w:tcPr>
    </w:tblStylePr>
    <w:tblStylePr w:type="band1Horz">
      <w:rPr>
        <w:rFonts w:cs="Times New Roman"/>
      </w:rPr>
      <w:tblPr/>
      <w:tcPr>
        <w:shd w:val="clear" w:color="auto" w:fill="FF6060"/>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semiHidden/>
    <w:rsid w:val="006544C4"/>
    <w:rPr>
      <w:color w:val="000000"/>
      <w:sz w:val="20"/>
      <w:szCs w:val="20"/>
    </w:rPr>
    <w:tblPr>
      <w:tblStyleRowBandSize w:val="1"/>
      <w:tblStyleColBandSize w:val="1"/>
      <w:tblInd w:w="0" w:type="dxa"/>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rFonts w:cs="Times New Roman"/>
        <w:b/>
        <w:bCs/>
      </w:rPr>
      <w:tblPr/>
      <w:tcPr>
        <w:tcBorders>
          <w:top w:val="nil"/>
          <w:left w:val="nil"/>
          <w:bottom w:val="single" w:sz="24" w:space="0" w:color="969696"/>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style>
  <w:style w:type="table" w:styleId="ColorfulShading-Accent4">
    <w:name w:val="Colorful Shading Accent 4"/>
    <w:basedOn w:val="TableNormal"/>
    <w:uiPriority w:val="99"/>
    <w:semiHidden/>
    <w:rsid w:val="006544C4"/>
    <w:rPr>
      <w:color w:val="000000"/>
      <w:sz w:val="20"/>
      <w:szCs w:val="20"/>
    </w:rPr>
    <w:tblPr>
      <w:tblStyleRowBandSize w:val="1"/>
      <w:tblStyleColBandSize w:val="1"/>
      <w:tblInd w:w="0" w:type="dxa"/>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CellMar>
        <w:top w:w="0" w:type="dxa"/>
        <w:left w:w="108" w:type="dxa"/>
        <w:bottom w:w="0" w:type="dxa"/>
        <w:right w:w="108" w:type="dxa"/>
      </w:tblCellMar>
    </w:tblPr>
    <w:tcPr>
      <w:shd w:val="clear" w:color="auto" w:fill="F4F4F4"/>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5A5A5A"/>
      </w:tcPr>
    </w:tblStylePr>
    <w:tblStylePr w:type="firstCol">
      <w:rPr>
        <w:rFonts w:cs="Times New Roman"/>
        <w:color w:val="0072BC"/>
      </w:rPr>
      <w:tblPr/>
      <w:tcPr>
        <w:tcBorders>
          <w:top w:val="nil"/>
          <w:left w:val="nil"/>
          <w:bottom w:val="nil"/>
          <w:right w:val="nil"/>
          <w:insideH w:val="single" w:sz="4" w:space="0" w:color="5A5A5A"/>
          <w:insideV w:val="nil"/>
        </w:tcBorders>
        <w:shd w:val="clear" w:color="auto" w:fill="5A5A5A"/>
      </w:tcPr>
    </w:tblStylePr>
    <w:tblStylePr w:type="lastCol">
      <w:rPr>
        <w:rFonts w:cs="Times New Roman"/>
        <w:color w:val="0072BC"/>
      </w:rPr>
      <w:tblPr/>
      <w:tcPr>
        <w:tcBorders>
          <w:top w:val="nil"/>
          <w:left w:val="nil"/>
          <w:bottom w:val="nil"/>
          <w:right w:val="nil"/>
          <w:insideH w:val="nil"/>
          <w:insideV w:val="nil"/>
        </w:tcBorders>
        <w:shd w:val="clear" w:color="auto" w:fill="5A5A5A"/>
      </w:tcPr>
    </w:tblStylePr>
    <w:tblStylePr w:type="band1Vert">
      <w:rPr>
        <w:rFonts w:cs="Times New Roman"/>
      </w:rPr>
      <w:tblPr/>
      <w:tcPr>
        <w:shd w:val="clear" w:color="auto" w:fill="D5D5D5"/>
      </w:tcPr>
    </w:tblStylePr>
    <w:tblStylePr w:type="band1Horz">
      <w:rPr>
        <w:rFonts w:cs="Times New Roman"/>
      </w:rPr>
      <w:tblPr/>
      <w:tcPr>
        <w:shd w:val="clear" w:color="auto" w:fill="CACACA"/>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semiHidden/>
    <w:rsid w:val="006544C4"/>
    <w:rPr>
      <w:color w:val="000000"/>
      <w:sz w:val="20"/>
      <w:szCs w:val="20"/>
    </w:rPr>
    <w:tblPr>
      <w:tblStyleRowBandSize w:val="1"/>
      <w:tblStyleColBandSize w:val="1"/>
      <w:tblInd w:w="0" w:type="dxa"/>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rFonts w:cs="Times New Roman"/>
        <w:b/>
        <w:bCs/>
      </w:rPr>
      <w:tblPr/>
      <w:tcPr>
        <w:tcBorders>
          <w:top w:val="nil"/>
          <w:left w:val="nil"/>
          <w:bottom w:val="single" w:sz="24" w:space="0" w:color="4D4D4D"/>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semiHidden/>
    <w:rsid w:val="006544C4"/>
    <w:rPr>
      <w:color w:val="000000"/>
      <w:sz w:val="20"/>
      <w:szCs w:val="20"/>
    </w:rPr>
    <w:tblPr>
      <w:tblStyleRowBandSize w:val="1"/>
      <w:tblStyleColBandSize w:val="1"/>
      <w:tblInd w:w="0" w:type="dxa"/>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CellMar>
        <w:top w:w="0" w:type="dxa"/>
        <w:left w:w="108" w:type="dxa"/>
        <w:bottom w:w="0" w:type="dxa"/>
        <w:right w:w="108" w:type="dxa"/>
      </w:tblCellMar>
    </w:tblPr>
    <w:tcPr>
      <w:shd w:val="clear" w:color="auto" w:fill="EDEDED"/>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2E2E2E"/>
      </w:tcPr>
    </w:tblStylePr>
    <w:tblStylePr w:type="firstCol">
      <w:rPr>
        <w:rFonts w:cs="Times New Roman"/>
        <w:color w:val="0072BC"/>
      </w:rPr>
      <w:tblPr/>
      <w:tcPr>
        <w:tcBorders>
          <w:top w:val="nil"/>
          <w:left w:val="nil"/>
          <w:bottom w:val="nil"/>
          <w:right w:val="nil"/>
          <w:insideH w:val="single" w:sz="4" w:space="0" w:color="2E2E2E"/>
          <w:insideV w:val="nil"/>
        </w:tcBorders>
        <w:shd w:val="clear" w:color="auto" w:fill="2E2E2E"/>
      </w:tcPr>
    </w:tblStylePr>
    <w:tblStylePr w:type="lastCol">
      <w:rPr>
        <w:rFonts w:cs="Times New Roman"/>
        <w:color w:val="0072BC"/>
      </w:rPr>
      <w:tblPr/>
      <w:tcPr>
        <w:tcBorders>
          <w:top w:val="nil"/>
          <w:left w:val="nil"/>
          <w:bottom w:val="nil"/>
          <w:right w:val="nil"/>
          <w:insideH w:val="nil"/>
          <w:insideV w:val="nil"/>
        </w:tcBorders>
        <w:shd w:val="clear" w:color="auto" w:fill="2E2E2E"/>
      </w:tcPr>
    </w:tblStylePr>
    <w:tblStylePr w:type="band1Vert">
      <w:rPr>
        <w:rFonts w:cs="Times New Roman"/>
      </w:rPr>
      <w:tblPr/>
      <w:tcPr>
        <w:shd w:val="clear" w:color="auto" w:fill="B7B7B7"/>
      </w:tcPr>
    </w:tblStylePr>
    <w:tblStylePr w:type="band1Horz">
      <w:rPr>
        <w:rFonts w:cs="Times New Roman"/>
      </w:rPr>
      <w:tblPr/>
      <w:tcPr>
        <w:shd w:val="clear" w:color="auto" w:fill="A6A6A6"/>
      </w:tcPr>
    </w:tblStylePr>
    <w:tblStylePr w:type="neCell">
      <w:rPr>
        <w:rFonts w:cs="Times New Roman"/>
        <w:color w:val="000000"/>
      </w:rPr>
    </w:tblStylePr>
    <w:tblStylePr w:type="nwCell">
      <w:rPr>
        <w:rFonts w:cs="Times New Roman"/>
        <w:color w:val="000000"/>
      </w:rPr>
    </w:tblStylePr>
  </w:style>
  <w:style w:type="paragraph" w:styleId="CommentSubject">
    <w:name w:val="annotation subject"/>
    <w:basedOn w:val="CommentText"/>
    <w:next w:val="CommentText"/>
    <w:link w:val="CommentSubjectChar"/>
    <w:uiPriority w:val="99"/>
    <w:semiHidden/>
    <w:rsid w:val="006544C4"/>
    <w:rPr>
      <w:b/>
      <w:bCs/>
      <w:szCs w:val="20"/>
    </w:rPr>
  </w:style>
  <w:style w:type="character" w:customStyle="1" w:styleId="CommentSubjectChar">
    <w:name w:val="Comment Subject Char"/>
    <w:basedOn w:val="CommentTextChar"/>
    <w:link w:val="CommentSubject"/>
    <w:uiPriority w:val="99"/>
    <w:semiHidden/>
    <w:locked/>
    <w:rsid w:val="006544C4"/>
    <w:rPr>
      <w:b/>
      <w:bCs/>
      <w:szCs w:val="20"/>
    </w:rPr>
  </w:style>
  <w:style w:type="table" w:styleId="DarkList">
    <w:name w:val="Dark List"/>
    <w:basedOn w:val="TableNormal"/>
    <w:uiPriority w:val="99"/>
    <w:semiHidden/>
    <w:rsid w:val="006544C4"/>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0072BC"/>
          <w:insideH w:val="nil"/>
          <w:insideV w:val="nil"/>
        </w:tcBorders>
        <w:shd w:val="clear" w:color="auto" w:fill="000000"/>
      </w:tcPr>
    </w:tblStylePr>
    <w:tblStylePr w:type="lastCol">
      <w:rPr>
        <w:rFonts w:cs="Times New Roman"/>
      </w:rPr>
      <w:tblPr/>
      <w:tcPr>
        <w:tcBorders>
          <w:top w:val="nil"/>
          <w:left w:val="single" w:sz="18" w:space="0" w:color="0072BC"/>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6544C4"/>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0072BC"/>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385D"/>
      </w:tcPr>
    </w:tblStylePr>
    <w:tblStylePr w:type="firstCol">
      <w:rPr>
        <w:rFonts w:cs="Times New Roman"/>
      </w:rPr>
      <w:tblPr/>
      <w:tcPr>
        <w:tcBorders>
          <w:top w:val="nil"/>
          <w:left w:val="nil"/>
          <w:bottom w:val="nil"/>
          <w:right w:val="single" w:sz="18" w:space="0" w:color="0072BC"/>
          <w:insideH w:val="nil"/>
          <w:insideV w:val="nil"/>
        </w:tcBorders>
        <w:shd w:val="clear" w:color="auto" w:fill="00548C"/>
      </w:tcPr>
    </w:tblStylePr>
    <w:tblStylePr w:type="lastCol">
      <w:rPr>
        <w:rFonts w:cs="Times New Roman"/>
      </w:rPr>
      <w:tblPr/>
      <w:tcPr>
        <w:tcBorders>
          <w:top w:val="nil"/>
          <w:left w:val="single" w:sz="18" w:space="0" w:color="0072BC"/>
          <w:bottom w:val="nil"/>
          <w:right w:val="nil"/>
          <w:insideH w:val="nil"/>
          <w:insideV w:val="nil"/>
        </w:tcBorders>
        <w:shd w:val="clear" w:color="auto" w:fill="00548C"/>
      </w:tcPr>
    </w:tblStylePr>
    <w:tblStylePr w:type="band1Vert">
      <w:rPr>
        <w:rFonts w:cs="Times New Roman"/>
      </w:rPr>
      <w:tblPr/>
      <w:tcPr>
        <w:tcBorders>
          <w:top w:val="nil"/>
          <w:left w:val="nil"/>
          <w:bottom w:val="nil"/>
          <w:right w:val="nil"/>
          <w:insideH w:val="nil"/>
          <w:insideV w:val="nil"/>
        </w:tcBorders>
        <w:shd w:val="clear" w:color="auto" w:fill="00548C"/>
      </w:tcPr>
    </w:tblStylePr>
    <w:tblStylePr w:type="band1Horz">
      <w:rPr>
        <w:rFonts w:cs="Times New Roman"/>
      </w:rPr>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6544C4"/>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C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5F0000"/>
      </w:tcPr>
    </w:tblStylePr>
    <w:tblStylePr w:type="firstCol">
      <w:rPr>
        <w:rFonts w:cs="Times New Roman"/>
      </w:rPr>
      <w:tblPr/>
      <w:tcPr>
        <w:tcBorders>
          <w:top w:val="nil"/>
          <w:left w:val="nil"/>
          <w:bottom w:val="nil"/>
          <w:right w:val="single" w:sz="18" w:space="0" w:color="0072BC"/>
          <w:insideH w:val="nil"/>
          <w:insideV w:val="nil"/>
        </w:tcBorders>
        <w:shd w:val="clear" w:color="auto" w:fill="8F0000"/>
      </w:tcPr>
    </w:tblStylePr>
    <w:tblStylePr w:type="lastCol">
      <w:rPr>
        <w:rFonts w:cs="Times New Roman"/>
      </w:rPr>
      <w:tblPr/>
      <w:tcPr>
        <w:tcBorders>
          <w:top w:val="nil"/>
          <w:left w:val="single" w:sz="18" w:space="0" w:color="0072BC"/>
          <w:bottom w:val="nil"/>
          <w:right w:val="nil"/>
          <w:insideH w:val="nil"/>
          <w:insideV w:val="nil"/>
        </w:tcBorders>
        <w:shd w:val="clear" w:color="auto" w:fill="8F0000"/>
      </w:tcPr>
    </w:tblStylePr>
    <w:tblStylePr w:type="band1Vert">
      <w:rPr>
        <w:rFonts w:cs="Times New Roman"/>
      </w:rPr>
      <w:tblPr/>
      <w:tcPr>
        <w:tcBorders>
          <w:top w:val="nil"/>
          <w:left w:val="nil"/>
          <w:bottom w:val="nil"/>
          <w:right w:val="nil"/>
          <w:insideH w:val="nil"/>
          <w:insideV w:val="nil"/>
        </w:tcBorders>
        <w:shd w:val="clear" w:color="auto" w:fill="8F0000"/>
      </w:tcPr>
    </w:tblStylePr>
    <w:tblStylePr w:type="band1Horz">
      <w:rPr>
        <w:rFonts w:cs="Times New Roman"/>
      </w:rPr>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6544C4"/>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6544C4"/>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969696"/>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4A4A4A"/>
      </w:tcPr>
    </w:tblStylePr>
    <w:tblStylePr w:type="firstCol">
      <w:rPr>
        <w:rFonts w:cs="Times New Roman"/>
      </w:rPr>
      <w:tblPr/>
      <w:tcPr>
        <w:tcBorders>
          <w:top w:val="nil"/>
          <w:left w:val="nil"/>
          <w:bottom w:val="nil"/>
          <w:right w:val="single" w:sz="18" w:space="0" w:color="0072BC"/>
          <w:insideH w:val="nil"/>
          <w:insideV w:val="nil"/>
        </w:tcBorders>
        <w:shd w:val="clear" w:color="auto" w:fill="707070"/>
      </w:tcPr>
    </w:tblStylePr>
    <w:tblStylePr w:type="lastCol">
      <w:rPr>
        <w:rFonts w:cs="Times New Roman"/>
      </w:rPr>
      <w:tblPr/>
      <w:tcPr>
        <w:tcBorders>
          <w:top w:val="nil"/>
          <w:left w:val="single" w:sz="18" w:space="0" w:color="0072BC"/>
          <w:bottom w:val="nil"/>
          <w:right w:val="nil"/>
          <w:insideH w:val="nil"/>
          <w:insideV w:val="nil"/>
        </w:tcBorders>
        <w:shd w:val="clear" w:color="auto" w:fill="707070"/>
      </w:tcPr>
    </w:tblStylePr>
    <w:tblStylePr w:type="band1Vert">
      <w:rPr>
        <w:rFonts w:cs="Times New Roman"/>
      </w:rPr>
      <w:tblPr/>
      <w:tcPr>
        <w:tcBorders>
          <w:top w:val="nil"/>
          <w:left w:val="nil"/>
          <w:bottom w:val="nil"/>
          <w:right w:val="nil"/>
          <w:insideH w:val="nil"/>
          <w:insideV w:val="nil"/>
        </w:tcBorders>
        <w:shd w:val="clear" w:color="auto" w:fill="707070"/>
      </w:tcPr>
    </w:tblStylePr>
    <w:tblStylePr w:type="band1Horz">
      <w:rPr>
        <w:rFonts w:cs="Times New Roman"/>
      </w:rPr>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6544C4"/>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6544C4"/>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4D4D4D"/>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62626"/>
      </w:tcPr>
    </w:tblStylePr>
    <w:tblStylePr w:type="firstCol">
      <w:rPr>
        <w:rFonts w:cs="Times New Roman"/>
      </w:rPr>
      <w:tblPr/>
      <w:tcPr>
        <w:tcBorders>
          <w:top w:val="nil"/>
          <w:left w:val="nil"/>
          <w:bottom w:val="nil"/>
          <w:right w:val="single" w:sz="18" w:space="0" w:color="0072BC"/>
          <w:insideH w:val="nil"/>
          <w:insideV w:val="nil"/>
        </w:tcBorders>
        <w:shd w:val="clear" w:color="auto" w:fill="393939"/>
      </w:tcPr>
    </w:tblStylePr>
    <w:tblStylePr w:type="lastCol">
      <w:rPr>
        <w:rFonts w:cs="Times New Roman"/>
      </w:rPr>
      <w:tblPr/>
      <w:tcPr>
        <w:tcBorders>
          <w:top w:val="nil"/>
          <w:left w:val="single" w:sz="18" w:space="0" w:color="0072BC"/>
          <w:bottom w:val="nil"/>
          <w:right w:val="nil"/>
          <w:insideH w:val="nil"/>
          <w:insideV w:val="nil"/>
        </w:tcBorders>
        <w:shd w:val="clear" w:color="auto" w:fill="393939"/>
      </w:tcPr>
    </w:tblStylePr>
    <w:tblStylePr w:type="band1Vert">
      <w:rPr>
        <w:rFonts w:cs="Times New Roman"/>
      </w:rPr>
      <w:tblPr/>
      <w:tcPr>
        <w:tcBorders>
          <w:top w:val="nil"/>
          <w:left w:val="nil"/>
          <w:bottom w:val="nil"/>
          <w:right w:val="nil"/>
          <w:insideH w:val="nil"/>
          <w:insideV w:val="nil"/>
        </w:tcBorders>
        <w:shd w:val="clear" w:color="auto" w:fill="393939"/>
      </w:tcPr>
    </w:tblStylePr>
    <w:tblStylePr w:type="band1Horz">
      <w:rPr>
        <w:rFonts w:cs="Times New Roman"/>
      </w:rPr>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6544C4"/>
  </w:style>
  <w:style w:type="character" w:customStyle="1" w:styleId="DateChar">
    <w:name w:val="Date Char"/>
    <w:basedOn w:val="DefaultParagraphFont"/>
    <w:link w:val="Date"/>
    <w:uiPriority w:val="99"/>
    <w:semiHidden/>
    <w:locked/>
    <w:rsid w:val="006544C4"/>
    <w:rPr>
      <w:rFonts w:eastAsia="MS Mincho" w:cs="Times New Roman"/>
      <w:sz w:val="24"/>
    </w:rPr>
  </w:style>
  <w:style w:type="paragraph" w:styleId="DocumentMap">
    <w:name w:val="Document Map"/>
    <w:basedOn w:val="Normal"/>
    <w:link w:val="DocumentMapChar"/>
    <w:uiPriority w:val="99"/>
    <w:semiHidden/>
    <w:rsid w:val="006544C4"/>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6544C4"/>
    <w:rPr>
      <w:rFonts w:ascii="Tahoma" w:eastAsia="MS Mincho" w:hAnsi="Tahoma" w:cs="Tahoma"/>
      <w:sz w:val="16"/>
      <w:szCs w:val="16"/>
    </w:rPr>
  </w:style>
  <w:style w:type="paragraph" w:styleId="E-mailSignature">
    <w:name w:val="E-mail Signature"/>
    <w:basedOn w:val="Normal"/>
    <w:link w:val="E-mailSignatureChar"/>
    <w:uiPriority w:val="99"/>
    <w:semiHidden/>
    <w:rsid w:val="006544C4"/>
  </w:style>
  <w:style w:type="character" w:customStyle="1" w:styleId="E-mailSignatureChar">
    <w:name w:val="E-mail Signature Char"/>
    <w:basedOn w:val="DefaultParagraphFont"/>
    <w:link w:val="E-mailSignature"/>
    <w:uiPriority w:val="99"/>
    <w:semiHidden/>
    <w:locked/>
    <w:rsid w:val="006544C4"/>
    <w:rPr>
      <w:rFonts w:eastAsia="MS Mincho" w:cs="Times New Roman"/>
      <w:sz w:val="24"/>
    </w:rPr>
  </w:style>
  <w:style w:type="character" w:styleId="EndnoteReference">
    <w:name w:val="endnote reference"/>
    <w:basedOn w:val="DefaultParagraphFont"/>
    <w:uiPriority w:val="99"/>
    <w:semiHidden/>
    <w:rsid w:val="006544C4"/>
    <w:rPr>
      <w:rFonts w:cs="Times New Roman"/>
      <w:vertAlign w:val="superscript"/>
    </w:rPr>
  </w:style>
  <w:style w:type="paragraph" w:styleId="EndnoteText">
    <w:name w:val="endnote text"/>
    <w:basedOn w:val="Normal"/>
    <w:link w:val="EndnoteTextChar"/>
    <w:uiPriority w:val="99"/>
    <w:semiHidden/>
    <w:rsid w:val="006544C4"/>
    <w:rPr>
      <w:sz w:val="20"/>
      <w:szCs w:val="20"/>
    </w:rPr>
  </w:style>
  <w:style w:type="character" w:customStyle="1" w:styleId="EndnoteTextChar">
    <w:name w:val="Endnote Text Char"/>
    <w:basedOn w:val="DefaultParagraphFont"/>
    <w:link w:val="EndnoteText"/>
    <w:uiPriority w:val="99"/>
    <w:semiHidden/>
    <w:locked/>
    <w:rsid w:val="006544C4"/>
    <w:rPr>
      <w:rFonts w:eastAsia="MS Mincho" w:cs="Times New Roman"/>
      <w:sz w:val="20"/>
      <w:szCs w:val="20"/>
    </w:rPr>
  </w:style>
  <w:style w:type="paragraph" w:styleId="EnvelopeAddress">
    <w:name w:val="envelope address"/>
    <w:basedOn w:val="Normal"/>
    <w:uiPriority w:val="99"/>
    <w:semiHidden/>
    <w:rsid w:val="006544C4"/>
    <w:pPr>
      <w:framePr w:w="7920" w:h="1980" w:hRule="exact" w:hSpace="180" w:wrap="auto" w:hAnchor="page" w:xAlign="center" w:yAlign="bottom"/>
      <w:ind w:left="2880"/>
    </w:pPr>
    <w:rPr>
      <w:rFonts w:eastAsia="MS Gothic"/>
      <w:szCs w:val="24"/>
    </w:rPr>
  </w:style>
  <w:style w:type="paragraph" w:styleId="EnvelopeReturn">
    <w:name w:val="envelope return"/>
    <w:basedOn w:val="Normal"/>
    <w:uiPriority w:val="99"/>
    <w:semiHidden/>
    <w:rsid w:val="006544C4"/>
    <w:rPr>
      <w:rFonts w:eastAsia="MS Gothic"/>
      <w:sz w:val="20"/>
      <w:szCs w:val="20"/>
    </w:rPr>
  </w:style>
  <w:style w:type="character" w:styleId="FollowedHyperlink">
    <w:name w:val="FollowedHyperlink"/>
    <w:basedOn w:val="DefaultParagraphFont"/>
    <w:uiPriority w:val="99"/>
    <w:semiHidden/>
    <w:rsid w:val="006544C4"/>
    <w:rPr>
      <w:rFonts w:cs="Times New Roman"/>
      <w:color w:val="7030A0"/>
      <w:u w:val="single"/>
    </w:rPr>
  </w:style>
  <w:style w:type="character" w:styleId="HTMLAcronym">
    <w:name w:val="HTML Acronym"/>
    <w:basedOn w:val="DefaultParagraphFont"/>
    <w:uiPriority w:val="99"/>
    <w:semiHidden/>
    <w:rsid w:val="006544C4"/>
    <w:rPr>
      <w:rFonts w:cs="Times New Roman"/>
    </w:rPr>
  </w:style>
  <w:style w:type="paragraph" w:styleId="HTMLAddress">
    <w:name w:val="HTML Address"/>
    <w:basedOn w:val="Normal"/>
    <w:link w:val="HTMLAddressChar"/>
    <w:uiPriority w:val="99"/>
    <w:semiHidden/>
    <w:rsid w:val="006544C4"/>
    <w:rPr>
      <w:i/>
      <w:iCs/>
    </w:rPr>
  </w:style>
  <w:style w:type="character" w:customStyle="1" w:styleId="HTMLAddressChar">
    <w:name w:val="HTML Address Char"/>
    <w:basedOn w:val="DefaultParagraphFont"/>
    <w:link w:val="HTMLAddress"/>
    <w:uiPriority w:val="99"/>
    <w:semiHidden/>
    <w:locked/>
    <w:rsid w:val="006544C4"/>
    <w:rPr>
      <w:rFonts w:eastAsia="MS Mincho" w:cs="Times New Roman"/>
      <w:i/>
      <w:iCs/>
      <w:sz w:val="24"/>
    </w:rPr>
  </w:style>
  <w:style w:type="character" w:styleId="HTMLCite">
    <w:name w:val="HTML Cite"/>
    <w:basedOn w:val="DefaultParagraphFont"/>
    <w:uiPriority w:val="99"/>
    <w:semiHidden/>
    <w:rsid w:val="006544C4"/>
    <w:rPr>
      <w:rFonts w:cs="Times New Roman"/>
      <w:i/>
      <w:iCs/>
    </w:rPr>
  </w:style>
  <w:style w:type="character" w:styleId="HTMLCode">
    <w:name w:val="HTML Code"/>
    <w:basedOn w:val="DefaultParagraphFont"/>
    <w:uiPriority w:val="99"/>
    <w:semiHidden/>
    <w:rsid w:val="006544C4"/>
    <w:rPr>
      <w:rFonts w:ascii="Consolas" w:hAnsi="Consolas" w:cs="Consolas"/>
      <w:sz w:val="20"/>
      <w:szCs w:val="20"/>
    </w:rPr>
  </w:style>
  <w:style w:type="character" w:styleId="HTMLDefinition">
    <w:name w:val="HTML Definition"/>
    <w:basedOn w:val="DefaultParagraphFont"/>
    <w:uiPriority w:val="99"/>
    <w:semiHidden/>
    <w:rsid w:val="006544C4"/>
    <w:rPr>
      <w:rFonts w:cs="Times New Roman"/>
      <w:i/>
      <w:iCs/>
    </w:rPr>
  </w:style>
  <w:style w:type="character" w:styleId="HTMLKeyboard">
    <w:name w:val="HTML Keyboard"/>
    <w:basedOn w:val="DefaultParagraphFont"/>
    <w:uiPriority w:val="99"/>
    <w:semiHidden/>
    <w:rsid w:val="006544C4"/>
    <w:rPr>
      <w:rFonts w:ascii="Consolas" w:hAnsi="Consolas" w:cs="Consolas"/>
      <w:sz w:val="20"/>
      <w:szCs w:val="20"/>
    </w:rPr>
  </w:style>
  <w:style w:type="paragraph" w:styleId="HTMLPreformatted">
    <w:name w:val="HTML Preformatted"/>
    <w:basedOn w:val="Normal"/>
    <w:link w:val="HTMLPreformattedChar"/>
    <w:uiPriority w:val="99"/>
    <w:semiHidden/>
    <w:rsid w:val="006544C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locked/>
    <w:rsid w:val="006544C4"/>
    <w:rPr>
      <w:rFonts w:ascii="Consolas" w:eastAsia="MS Mincho" w:hAnsi="Consolas" w:cs="Consolas"/>
      <w:sz w:val="20"/>
      <w:szCs w:val="20"/>
    </w:rPr>
  </w:style>
  <w:style w:type="character" w:styleId="HTMLSample">
    <w:name w:val="HTML Sample"/>
    <w:basedOn w:val="DefaultParagraphFont"/>
    <w:uiPriority w:val="99"/>
    <w:semiHidden/>
    <w:rsid w:val="006544C4"/>
    <w:rPr>
      <w:rFonts w:ascii="Consolas" w:hAnsi="Consolas" w:cs="Consolas"/>
      <w:sz w:val="24"/>
      <w:szCs w:val="24"/>
    </w:rPr>
  </w:style>
  <w:style w:type="character" w:styleId="HTMLTypewriter">
    <w:name w:val="HTML Typewriter"/>
    <w:basedOn w:val="DefaultParagraphFont"/>
    <w:uiPriority w:val="99"/>
    <w:semiHidden/>
    <w:rsid w:val="006544C4"/>
    <w:rPr>
      <w:rFonts w:ascii="Consolas" w:hAnsi="Consolas" w:cs="Consolas"/>
      <w:sz w:val="20"/>
      <w:szCs w:val="20"/>
    </w:rPr>
  </w:style>
  <w:style w:type="character" w:styleId="HTMLVariable">
    <w:name w:val="HTML Variable"/>
    <w:basedOn w:val="DefaultParagraphFont"/>
    <w:uiPriority w:val="99"/>
    <w:semiHidden/>
    <w:rsid w:val="006544C4"/>
    <w:rPr>
      <w:rFonts w:cs="Times New Roman"/>
      <w:i/>
      <w:iCs/>
    </w:rPr>
  </w:style>
  <w:style w:type="paragraph" w:styleId="Index1">
    <w:name w:val="index 1"/>
    <w:basedOn w:val="Normal"/>
    <w:next w:val="Normal"/>
    <w:autoRedefine/>
    <w:uiPriority w:val="99"/>
    <w:semiHidden/>
    <w:rsid w:val="006544C4"/>
    <w:pPr>
      <w:ind w:left="240" w:hanging="240"/>
    </w:pPr>
  </w:style>
  <w:style w:type="paragraph" w:styleId="Index2">
    <w:name w:val="index 2"/>
    <w:basedOn w:val="Normal"/>
    <w:next w:val="Normal"/>
    <w:autoRedefine/>
    <w:uiPriority w:val="99"/>
    <w:semiHidden/>
    <w:rsid w:val="006544C4"/>
    <w:pPr>
      <w:ind w:left="480" w:hanging="240"/>
    </w:pPr>
  </w:style>
  <w:style w:type="paragraph" w:styleId="Index3">
    <w:name w:val="index 3"/>
    <w:basedOn w:val="Normal"/>
    <w:next w:val="Normal"/>
    <w:autoRedefine/>
    <w:uiPriority w:val="99"/>
    <w:semiHidden/>
    <w:rsid w:val="006544C4"/>
    <w:pPr>
      <w:ind w:left="720" w:hanging="240"/>
    </w:pPr>
  </w:style>
  <w:style w:type="paragraph" w:styleId="Index4">
    <w:name w:val="index 4"/>
    <w:basedOn w:val="Normal"/>
    <w:next w:val="Normal"/>
    <w:autoRedefine/>
    <w:uiPriority w:val="99"/>
    <w:semiHidden/>
    <w:rsid w:val="006544C4"/>
    <w:pPr>
      <w:ind w:left="960" w:hanging="240"/>
    </w:pPr>
  </w:style>
  <w:style w:type="paragraph" w:styleId="Index5">
    <w:name w:val="index 5"/>
    <w:basedOn w:val="Normal"/>
    <w:next w:val="Normal"/>
    <w:autoRedefine/>
    <w:uiPriority w:val="99"/>
    <w:semiHidden/>
    <w:rsid w:val="006544C4"/>
    <w:pPr>
      <w:ind w:left="1200" w:hanging="240"/>
    </w:pPr>
  </w:style>
  <w:style w:type="paragraph" w:styleId="Index6">
    <w:name w:val="index 6"/>
    <w:basedOn w:val="Normal"/>
    <w:next w:val="Normal"/>
    <w:autoRedefine/>
    <w:uiPriority w:val="99"/>
    <w:semiHidden/>
    <w:rsid w:val="006544C4"/>
    <w:pPr>
      <w:ind w:left="1440" w:hanging="240"/>
    </w:pPr>
  </w:style>
  <w:style w:type="paragraph" w:styleId="Index7">
    <w:name w:val="index 7"/>
    <w:basedOn w:val="Normal"/>
    <w:next w:val="Normal"/>
    <w:autoRedefine/>
    <w:uiPriority w:val="99"/>
    <w:semiHidden/>
    <w:rsid w:val="006544C4"/>
    <w:pPr>
      <w:ind w:left="1680" w:hanging="240"/>
    </w:pPr>
  </w:style>
  <w:style w:type="paragraph" w:styleId="Index8">
    <w:name w:val="index 8"/>
    <w:basedOn w:val="Normal"/>
    <w:next w:val="Normal"/>
    <w:autoRedefine/>
    <w:uiPriority w:val="99"/>
    <w:semiHidden/>
    <w:rsid w:val="006544C4"/>
    <w:pPr>
      <w:ind w:left="1920" w:hanging="240"/>
    </w:pPr>
  </w:style>
  <w:style w:type="paragraph" w:styleId="Index9">
    <w:name w:val="index 9"/>
    <w:basedOn w:val="Normal"/>
    <w:next w:val="Normal"/>
    <w:autoRedefine/>
    <w:uiPriority w:val="99"/>
    <w:semiHidden/>
    <w:rsid w:val="006544C4"/>
    <w:pPr>
      <w:ind w:left="2160" w:hanging="240"/>
    </w:pPr>
  </w:style>
  <w:style w:type="paragraph" w:styleId="IndexHeading">
    <w:name w:val="index heading"/>
    <w:basedOn w:val="Normal"/>
    <w:next w:val="Index1"/>
    <w:uiPriority w:val="99"/>
    <w:semiHidden/>
    <w:rsid w:val="006544C4"/>
    <w:rPr>
      <w:rFonts w:eastAsia="MS Gothic"/>
      <w:b/>
      <w:bCs/>
    </w:rPr>
  </w:style>
  <w:style w:type="table" w:styleId="LightGrid">
    <w:name w:val="Light Grid"/>
    <w:basedOn w:val="TableNormal"/>
    <w:uiPriority w:val="99"/>
    <w:semiHidden/>
    <w:rsid w:val="006544C4"/>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6544C4"/>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6544C4"/>
    <w:rPr>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6544C4"/>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6544C4"/>
    <w:rPr>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6544C4"/>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6544C4"/>
    <w:rPr>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6544C4"/>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6544C4"/>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0072BC"/>
      </w:tcPr>
    </w:tblStylePr>
    <w:tblStylePr w:type="lastRow">
      <w:pPr>
        <w:spacing w:before="0" w:after="0"/>
      </w:pPr>
      <w:rPr>
        <w:rFonts w:cs="Times New Roman"/>
        <w:b/>
        <w:bCs/>
      </w:rPr>
      <w:tblPr/>
      <w:tcPr>
        <w:tcBorders>
          <w:top w:val="double" w:sz="6" w:space="0" w:color="0072BC"/>
          <w:left w:val="single" w:sz="8" w:space="0" w:color="0072BC"/>
          <w:bottom w:val="single" w:sz="8" w:space="0" w:color="0072BC"/>
          <w:right w:val="single" w:sz="8" w:space="0" w:color="0072B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6544C4"/>
    <w:rPr>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C00000"/>
      </w:tcPr>
    </w:tblStylePr>
    <w:tblStylePr w:type="lastRow">
      <w:pPr>
        <w:spacing w:before="0" w:after="0"/>
      </w:pPr>
      <w:rPr>
        <w:rFonts w:cs="Times New Roman"/>
        <w:b/>
        <w:bCs/>
      </w:rPr>
      <w:tblPr/>
      <w:tcPr>
        <w:tcBorders>
          <w:top w:val="double" w:sz="6" w:space="0" w:color="C00000"/>
          <w:left w:val="single" w:sz="8" w:space="0" w:color="C00000"/>
          <w:bottom w:val="single" w:sz="8" w:space="0" w:color="C00000"/>
          <w:right w:val="single" w:sz="8" w:space="0" w:color="C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6544C4"/>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6544C4"/>
    <w:rPr>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969696"/>
      </w:tcPr>
    </w:tblStylePr>
    <w:tblStylePr w:type="lastRow">
      <w:pPr>
        <w:spacing w:before="0" w:after="0"/>
      </w:pPr>
      <w:rPr>
        <w:rFonts w:cs="Times New Roman"/>
        <w:b/>
        <w:bCs/>
      </w:rPr>
      <w:tblPr/>
      <w:tcPr>
        <w:tcBorders>
          <w:top w:val="double" w:sz="6" w:space="0" w:color="969696"/>
          <w:left w:val="single" w:sz="8" w:space="0" w:color="969696"/>
          <w:bottom w:val="single" w:sz="8" w:space="0" w:color="969696"/>
          <w:right w:val="single" w:sz="8" w:space="0" w:color="96969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6544C4"/>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6544C4"/>
    <w:rPr>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4D4D4D"/>
      </w:tcPr>
    </w:tblStylePr>
    <w:tblStylePr w:type="lastRow">
      <w:pPr>
        <w:spacing w:before="0" w:after="0"/>
      </w:pPr>
      <w:rPr>
        <w:rFonts w:cs="Times New Roman"/>
        <w:b/>
        <w:bCs/>
      </w:rPr>
      <w:tblPr/>
      <w:tcPr>
        <w:tcBorders>
          <w:top w:val="double" w:sz="6" w:space="0" w:color="4D4D4D"/>
          <w:left w:val="single" w:sz="8" w:space="0" w:color="4D4D4D"/>
          <w:bottom w:val="single" w:sz="8" w:space="0" w:color="4D4D4D"/>
          <w:right w:val="single" w:sz="8" w:space="0" w:color="4D4D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6544C4"/>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6544C4"/>
    <w:rPr>
      <w:color w:val="00548C"/>
      <w:sz w:val="20"/>
      <w:szCs w:val="20"/>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6544C4"/>
    <w:rPr>
      <w:color w:val="8F0000"/>
      <w:sz w:val="20"/>
      <w:szCs w:val="2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6544C4"/>
    <w:rPr>
      <w:color w:val="474747"/>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6544C4"/>
    <w:rPr>
      <w:color w:val="707070"/>
      <w:sz w:val="20"/>
      <w:szCs w:val="2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6544C4"/>
    <w:rPr>
      <w:color w:val="474747"/>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6544C4"/>
    <w:rPr>
      <w:color w:val="393939"/>
      <w:sz w:val="20"/>
      <w:szCs w:val="20"/>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6544C4"/>
    <w:rPr>
      <w:rFonts w:cs="Times New Roman"/>
    </w:rPr>
  </w:style>
  <w:style w:type="paragraph" w:styleId="List">
    <w:name w:val="List"/>
    <w:basedOn w:val="Normal"/>
    <w:uiPriority w:val="99"/>
    <w:semiHidden/>
    <w:rsid w:val="006544C4"/>
    <w:pPr>
      <w:ind w:left="283" w:hanging="283"/>
      <w:contextualSpacing/>
    </w:pPr>
  </w:style>
  <w:style w:type="paragraph" w:styleId="List2">
    <w:name w:val="List 2"/>
    <w:basedOn w:val="Normal"/>
    <w:uiPriority w:val="99"/>
    <w:semiHidden/>
    <w:rsid w:val="006544C4"/>
    <w:pPr>
      <w:ind w:left="566" w:hanging="283"/>
      <w:contextualSpacing/>
    </w:pPr>
  </w:style>
  <w:style w:type="paragraph" w:styleId="List3">
    <w:name w:val="List 3"/>
    <w:basedOn w:val="Normal"/>
    <w:uiPriority w:val="99"/>
    <w:semiHidden/>
    <w:rsid w:val="006544C4"/>
    <w:pPr>
      <w:ind w:left="849" w:hanging="283"/>
      <w:contextualSpacing/>
    </w:pPr>
  </w:style>
  <w:style w:type="paragraph" w:styleId="List4">
    <w:name w:val="List 4"/>
    <w:basedOn w:val="Normal"/>
    <w:uiPriority w:val="99"/>
    <w:semiHidden/>
    <w:rsid w:val="006544C4"/>
    <w:pPr>
      <w:ind w:left="1132" w:hanging="283"/>
      <w:contextualSpacing/>
    </w:pPr>
  </w:style>
  <w:style w:type="paragraph" w:styleId="List5">
    <w:name w:val="List 5"/>
    <w:basedOn w:val="Normal"/>
    <w:uiPriority w:val="99"/>
    <w:semiHidden/>
    <w:rsid w:val="006544C4"/>
    <w:pPr>
      <w:ind w:left="1415" w:hanging="283"/>
      <w:contextualSpacing/>
    </w:pPr>
  </w:style>
  <w:style w:type="paragraph" w:styleId="ListBullet">
    <w:name w:val="List Bullet"/>
    <w:basedOn w:val="Normal"/>
    <w:uiPriority w:val="99"/>
    <w:semiHidden/>
    <w:rsid w:val="006544C4"/>
    <w:pPr>
      <w:numPr>
        <w:numId w:val="25"/>
      </w:numPr>
      <w:tabs>
        <w:tab w:val="clear" w:pos="964"/>
        <w:tab w:val="num" w:pos="360"/>
      </w:tabs>
      <w:ind w:left="360" w:hanging="360"/>
      <w:contextualSpacing/>
    </w:pPr>
  </w:style>
  <w:style w:type="paragraph" w:styleId="ListBullet4">
    <w:name w:val="List Bullet 4"/>
    <w:basedOn w:val="Normal"/>
    <w:uiPriority w:val="99"/>
    <w:semiHidden/>
    <w:rsid w:val="006544C4"/>
    <w:pPr>
      <w:numPr>
        <w:numId w:val="26"/>
      </w:numPr>
      <w:tabs>
        <w:tab w:val="clear" w:pos="851"/>
        <w:tab w:val="num" w:pos="1209"/>
      </w:tabs>
      <w:ind w:left="1209" w:hanging="360"/>
      <w:contextualSpacing/>
    </w:pPr>
  </w:style>
  <w:style w:type="paragraph" w:styleId="ListBullet5">
    <w:name w:val="List Bullet 5"/>
    <w:basedOn w:val="Normal"/>
    <w:uiPriority w:val="99"/>
    <w:semiHidden/>
    <w:rsid w:val="006544C4"/>
    <w:pPr>
      <w:numPr>
        <w:numId w:val="27"/>
      </w:numPr>
      <w:tabs>
        <w:tab w:val="clear" w:pos="964"/>
        <w:tab w:val="num" w:pos="1492"/>
      </w:tabs>
      <w:ind w:left="1492" w:hanging="360"/>
      <w:contextualSpacing/>
    </w:pPr>
  </w:style>
  <w:style w:type="paragraph" w:styleId="ListContinue">
    <w:name w:val="List Continue"/>
    <w:basedOn w:val="Normal"/>
    <w:uiPriority w:val="99"/>
    <w:semiHidden/>
    <w:rsid w:val="006544C4"/>
    <w:pPr>
      <w:spacing w:after="120"/>
      <w:ind w:left="283"/>
      <w:contextualSpacing/>
    </w:pPr>
  </w:style>
  <w:style w:type="paragraph" w:styleId="ListContinue2">
    <w:name w:val="List Continue 2"/>
    <w:basedOn w:val="Normal"/>
    <w:uiPriority w:val="99"/>
    <w:semiHidden/>
    <w:rsid w:val="006544C4"/>
    <w:pPr>
      <w:spacing w:after="120"/>
      <w:ind w:left="566"/>
      <w:contextualSpacing/>
    </w:pPr>
  </w:style>
  <w:style w:type="paragraph" w:styleId="ListContinue3">
    <w:name w:val="List Continue 3"/>
    <w:basedOn w:val="Normal"/>
    <w:uiPriority w:val="99"/>
    <w:semiHidden/>
    <w:rsid w:val="006544C4"/>
    <w:pPr>
      <w:spacing w:after="120"/>
      <w:ind w:left="849"/>
      <w:contextualSpacing/>
    </w:pPr>
  </w:style>
  <w:style w:type="paragraph" w:styleId="ListContinue4">
    <w:name w:val="List Continue 4"/>
    <w:basedOn w:val="Normal"/>
    <w:uiPriority w:val="99"/>
    <w:semiHidden/>
    <w:rsid w:val="006544C4"/>
    <w:pPr>
      <w:spacing w:after="120"/>
      <w:ind w:left="1132"/>
      <w:contextualSpacing/>
    </w:pPr>
  </w:style>
  <w:style w:type="paragraph" w:styleId="ListContinue5">
    <w:name w:val="List Continue 5"/>
    <w:basedOn w:val="Normal"/>
    <w:uiPriority w:val="99"/>
    <w:semiHidden/>
    <w:rsid w:val="006544C4"/>
    <w:pPr>
      <w:spacing w:after="120"/>
      <w:ind w:left="1415"/>
      <w:contextualSpacing/>
    </w:pPr>
  </w:style>
  <w:style w:type="paragraph" w:styleId="ListNumber">
    <w:name w:val="List Number"/>
    <w:basedOn w:val="Normal"/>
    <w:uiPriority w:val="99"/>
    <w:semiHidden/>
    <w:rsid w:val="006544C4"/>
    <w:pPr>
      <w:numPr>
        <w:numId w:val="28"/>
      </w:numPr>
      <w:tabs>
        <w:tab w:val="clear" w:pos="643"/>
        <w:tab w:val="num" w:pos="360"/>
      </w:tabs>
      <w:ind w:left="360"/>
      <w:contextualSpacing/>
    </w:pPr>
  </w:style>
  <w:style w:type="paragraph" w:styleId="ListNumber2">
    <w:name w:val="List Number 2"/>
    <w:basedOn w:val="Normal"/>
    <w:uiPriority w:val="99"/>
    <w:semiHidden/>
    <w:rsid w:val="006544C4"/>
    <w:pPr>
      <w:numPr>
        <w:numId w:val="29"/>
      </w:numPr>
      <w:tabs>
        <w:tab w:val="clear" w:pos="926"/>
        <w:tab w:val="num" w:pos="643"/>
      </w:tabs>
      <w:ind w:left="643"/>
      <w:contextualSpacing/>
    </w:pPr>
  </w:style>
  <w:style w:type="paragraph" w:styleId="ListNumber3">
    <w:name w:val="List Number 3"/>
    <w:basedOn w:val="Normal"/>
    <w:uiPriority w:val="99"/>
    <w:semiHidden/>
    <w:rsid w:val="006544C4"/>
    <w:pPr>
      <w:numPr>
        <w:numId w:val="30"/>
      </w:numPr>
      <w:tabs>
        <w:tab w:val="clear" w:pos="720"/>
        <w:tab w:val="num" w:pos="926"/>
      </w:tabs>
      <w:ind w:left="926"/>
      <w:contextualSpacing/>
    </w:pPr>
  </w:style>
  <w:style w:type="paragraph" w:styleId="ListNumber4">
    <w:name w:val="List Number 4"/>
    <w:basedOn w:val="Normal"/>
    <w:uiPriority w:val="99"/>
    <w:semiHidden/>
    <w:rsid w:val="006544C4"/>
    <w:pPr>
      <w:numPr>
        <w:numId w:val="31"/>
      </w:numPr>
      <w:tabs>
        <w:tab w:val="clear" w:pos="720"/>
        <w:tab w:val="num" w:pos="1209"/>
      </w:tabs>
      <w:ind w:left="1209"/>
      <w:contextualSpacing/>
    </w:pPr>
  </w:style>
  <w:style w:type="paragraph" w:styleId="ListNumber5">
    <w:name w:val="List Number 5"/>
    <w:basedOn w:val="Normal"/>
    <w:uiPriority w:val="99"/>
    <w:semiHidden/>
    <w:rsid w:val="006544C4"/>
    <w:pPr>
      <w:numPr>
        <w:numId w:val="32"/>
      </w:numPr>
      <w:tabs>
        <w:tab w:val="num" w:pos="1492"/>
      </w:tabs>
      <w:ind w:left="1492"/>
      <w:contextualSpacing/>
    </w:pPr>
  </w:style>
  <w:style w:type="paragraph" w:styleId="MacroText">
    <w:name w:val="macro"/>
    <w:link w:val="MacroTextChar"/>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MS Mincho" w:hAnsi="Consolas" w:cs="Consolas"/>
      <w:sz w:val="20"/>
      <w:szCs w:val="20"/>
      <w:lang w:val="en-US" w:eastAsia="en-US"/>
    </w:rPr>
  </w:style>
  <w:style w:type="character" w:customStyle="1" w:styleId="MacroTextChar">
    <w:name w:val="Macro Text Char"/>
    <w:basedOn w:val="DefaultParagraphFont"/>
    <w:link w:val="MacroText"/>
    <w:uiPriority w:val="99"/>
    <w:semiHidden/>
    <w:locked/>
    <w:rsid w:val="006544C4"/>
    <w:rPr>
      <w:rFonts w:ascii="Consolas" w:eastAsia="MS Mincho" w:hAnsi="Consolas" w:cs="Consolas"/>
      <w:lang w:val="en-US" w:eastAsia="en-US" w:bidi="ar-SA"/>
    </w:rPr>
  </w:style>
  <w:style w:type="table" w:styleId="MediumGrid1">
    <w:name w:val="Medium Grid 1"/>
    <w:basedOn w:val="TableNormal"/>
    <w:uiPriority w:val="99"/>
    <w:semiHidden/>
    <w:rsid w:val="006544C4"/>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semiHidden/>
    <w:rsid w:val="006544C4"/>
    <w:rPr>
      <w:sz w:val="20"/>
      <w:szCs w:val="20"/>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CellMar>
        <w:top w:w="0" w:type="dxa"/>
        <w:left w:w="108" w:type="dxa"/>
        <w:bottom w:w="0" w:type="dxa"/>
        <w:right w:w="108" w:type="dxa"/>
      </w:tblCellMar>
    </w:tblPr>
    <w:tcPr>
      <w:shd w:val="clear" w:color="auto" w:fill="AFDFFF"/>
    </w:tcPr>
    <w:tblStylePr w:type="firstRow">
      <w:rPr>
        <w:rFonts w:cs="Times New Roman"/>
        <w:b/>
        <w:bCs/>
      </w:rPr>
    </w:tblStylePr>
    <w:tblStylePr w:type="lastRow">
      <w:rPr>
        <w:rFonts w:cs="Times New Roman"/>
        <w:b/>
        <w:bCs/>
      </w:rPr>
      <w:tblPr/>
      <w:tcPr>
        <w:tcBorders>
          <w:top w:val="single" w:sz="18" w:space="0" w:color="0D9F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MediumGrid1-Accent2">
    <w:name w:val="Medium Grid 1 Accent 2"/>
    <w:basedOn w:val="TableNormal"/>
    <w:uiPriority w:val="99"/>
    <w:semiHidden/>
    <w:rsid w:val="006544C4"/>
    <w:rPr>
      <w:sz w:val="20"/>
      <w:szCs w:val="20"/>
    </w:rPr>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CellMar>
        <w:top w:w="0" w:type="dxa"/>
        <w:left w:w="108" w:type="dxa"/>
        <w:bottom w:w="0" w:type="dxa"/>
        <w:right w:w="108" w:type="dxa"/>
      </w:tblCellMar>
    </w:tblPr>
    <w:tcPr>
      <w:shd w:val="clear" w:color="auto" w:fill="FFB0B0"/>
    </w:tcPr>
    <w:tblStylePr w:type="firstRow">
      <w:rPr>
        <w:rFonts w:cs="Times New Roman"/>
        <w:b/>
        <w:bCs/>
      </w:rPr>
    </w:tblStylePr>
    <w:tblStylePr w:type="lastRow">
      <w:rPr>
        <w:rFonts w:cs="Times New Roman"/>
        <w:b/>
        <w:bCs/>
      </w:rPr>
      <w:tblPr/>
      <w:tcPr>
        <w:tcBorders>
          <w:top w:val="single" w:sz="18" w:space="0" w:color="FF101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MediumGrid1-Accent3">
    <w:name w:val="Medium Grid 1 Accent 3"/>
    <w:basedOn w:val="TableNormal"/>
    <w:uiPriority w:val="99"/>
    <w:semiHidden/>
    <w:rsid w:val="006544C4"/>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4">
    <w:name w:val="Medium Grid 1 Accent 4"/>
    <w:basedOn w:val="TableNormal"/>
    <w:uiPriority w:val="99"/>
    <w:semiHidden/>
    <w:rsid w:val="006544C4"/>
    <w:rPr>
      <w:sz w:val="20"/>
      <w:szCs w:val="20"/>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108" w:type="dxa"/>
        <w:bottom w:w="0" w:type="dxa"/>
        <w:right w:w="108" w:type="dxa"/>
      </w:tblCellMar>
    </w:tblPr>
    <w:tcPr>
      <w:shd w:val="clear" w:color="auto" w:fill="E5E5E5"/>
    </w:tcPr>
    <w:tblStylePr w:type="firstRow">
      <w:rPr>
        <w:rFonts w:cs="Times New Roman"/>
        <w:b/>
        <w:bCs/>
      </w:rPr>
    </w:tblStylePr>
    <w:tblStylePr w:type="lastRow">
      <w:rPr>
        <w:rFonts w:cs="Times New Roman"/>
        <w:b/>
        <w:bCs/>
      </w:rPr>
      <w:tblPr/>
      <w:tcPr>
        <w:tcBorders>
          <w:top w:val="single" w:sz="18" w:space="0" w:color="B0B0B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MediumGrid1-Accent5">
    <w:name w:val="Medium Grid 1 Accent 5"/>
    <w:basedOn w:val="TableNormal"/>
    <w:uiPriority w:val="99"/>
    <w:semiHidden/>
    <w:rsid w:val="006544C4"/>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6">
    <w:name w:val="Medium Grid 1 Accent 6"/>
    <w:basedOn w:val="TableNormal"/>
    <w:uiPriority w:val="99"/>
    <w:semiHidden/>
    <w:rsid w:val="006544C4"/>
    <w:rPr>
      <w:sz w:val="20"/>
      <w:szCs w:val="20"/>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CellMar>
        <w:top w:w="0" w:type="dxa"/>
        <w:left w:w="108" w:type="dxa"/>
        <w:bottom w:w="0" w:type="dxa"/>
        <w:right w:w="108" w:type="dxa"/>
      </w:tblCellMar>
    </w:tblPr>
    <w:tcPr>
      <w:shd w:val="clear" w:color="auto" w:fill="D3D3D3"/>
    </w:tcPr>
    <w:tblStylePr w:type="firstRow">
      <w:rPr>
        <w:rFonts w:cs="Times New Roman"/>
        <w:b/>
        <w:bCs/>
      </w:rPr>
    </w:tblStylePr>
    <w:tblStylePr w:type="lastRow">
      <w:rPr>
        <w:rFonts w:cs="Times New Roman"/>
        <w:b/>
        <w:bCs/>
      </w:rPr>
      <w:tblPr/>
      <w:tcPr>
        <w:tcBorders>
          <w:top w:val="single" w:sz="18" w:space="0" w:color="7979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MediumGrid2">
    <w:name w:val="Medium Grid 2"/>
    <w:basedOn w:val="TableNormal"/>
    <w:uiPriority w:val="99"/>
    <w:semiHidden/>
    <w:rsid w:val="006544C4"/>
    <w:rPr>
      <w:rFonts w:eastAsia="MS Gothic"/>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0072BC"/>
      </w:tcPr>
    </w:tblStylePr>
  </w:style>
  <w:style w:type="table" w:styleId="MediumGrid2-Accent1">
    <w:name w:val="Medium Grid 2 Accent 1"/>
    <w:basedOn w:val="TableNormal"/>
    <w:uiPriority w:val="99"/>
    <w:semiHidden/>
    <w:rsid w:val="006544C4"/>
    <w:rPr>
      <w:rFonts w:eastAsia="MS Gothic"/>
      <w:color w:val="000000"/>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cPr>
      <w:shd w:val="clear" w:color="auto" w:fill="AFDFFF"/>
    </w:tcPr>
    <w:tblStylePr w:type="firstRow">
      <w:rPr>
        <w:rFonts w:cs="Times New Roman"/>
        <w:b/>
        <w:bCs/>
        <w:color w:val="000000"/>
      </w:rPr>
      <w:tblPr/>
      <w:tcPr>
        <w:shd w:val="clear" w:color="auto" w:fill="DFF2F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BEE5FF"/>
      </w:tcPr>
    </w:tblStylePr>
    <w:tblStylePr w:type="band1Vert">
      <w:rPr>
        <w:rFonts w:cs="Times New Roman"/>
      </w:rPr>
      <w:tblPr/>
      <w:tcPr>
        <w:shd w:val="clear" w:color="auto" w:fill="5EBFFF"/>
      </w:tcPr>
    </w:tblStylePr>
    <w:tblStylePr w:type="band1Horz">
      <w:rPr>
        <w:rFonts w:cs="Times New Roman"/>
      </w:rPr>
      <w:tblPr/>
      <w:tcPr>
        <w:tcBorders>
          <w:insideH w:val="single" w:sz="6" w:space="0" w:color="0072BC"/>
          <w:insideV w:val="single" w:sz="6" w:space="0" w:color="0072BC"/>
        </w:tcBorders>
        <w:shd w:val="clear" w:color="auto" w:fill="5EBFFF"/>
      </w:tcPr>
    </w:tblStylePr>
    <w:tblStylePr w:type="nwCell">
      <w:rPr>
        <w:rFonts w:cs="Times New Roman"/>
      </w:rPr>
      <w:tblPr/>
      <w:tcPr>
        <w:shd w:val="clear" w:color="auto" w:fill="0072BC"/>
      </w:tcPr>
    </w:tblStylePr>
  </w:style>
  <w:style w:type="table" w:styleId="MediumGrid2-Accent2">
    <w:name w:val="Medium Grid 2 Accent 2"/>
    <w:basedOn w:val="TableNormal"/>
    <w:uiPriority w:val="99"/>
    <w:semiHidden/>
    <w:rsid w:val="006544C4"/>
    <w:rPr>
      <w:rFonts w:eastAsia="MS Gothic"/>
      <w:color w:val="000000"/>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cPr>
      <w:shd w:val="clear" w:color="auto" w:fill="FFB0B0"/>
    </w:tcPr>
    <w:tblStylePr w:type="firstRow">
      <w:rPr>
        <w:rFonts w:cs="Times New Roman"/>
        <w:b/>
        <w:bCs/>
        <w:color w:val="000000"/>
      </w:rPr>
      <w:tblPr/>
      <w:tcPr>
        <w:shd w:val="clear" w:color="auto" w:fill="FFDFD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FFBFBF"/>
      </w:tcPr>
    </w:tblStylePr>
    <w:tblStylePr w:type="band1Vert">
      <w:rPr>
        <w:rFonts w:cs="Times New Roman"/>
      </w:rPr>
      <w:tblPr/>
      <w:tcPr>
        <w:shd w:val="clear" w:color="auto" w:fill="FF6060"/>
      </w:tcPr>
    </w:tblStylePr>
    <w:tblStylePr w:type="band1Horz">
      <w:rPr>
        <w:rFonts w:cs="Times New Roman"/>
      </w:rPr>
      <w:tblPr/>
      <w:tcPr>
        <w:tcBorders>
          <w:insideH w:val="single" w:sz="6" w:space="0" w:color="C00000"/>
          <w:insideV w:val="single" w:sz="6" w:space="0" w:color="C00000"/>
        </w:tcBorders>
        <w:shd w:val="clear" w:color="auto" w:fill="FF6060"/>
      </w:tcPr>
    </w:tblStylePr>
    <w:tblStylePr w:type="nwCell">
      <w:rPr>
        <w:rFonts w:cs="Times New Roman"/>
      </w:rPr>
      <w:tblPr/>
      <w:tcPr>
        <w:shd w:val="clear" w:color="auto" w:fill="0072BC"/>
      </w:tcPr>
    </w:tblStylePr>
  </w:style>
  <w:style w:type="table" w:styleId="MediumGrid2-Accent3">
    <w:name w:val="Medium Grid 2 Accent 3"/>
    <w:basedOn w:val="TableNormal"/>
    <w:uiPriority w:val="99"/>
    <w:semiHidden/>
    <w:rsid w:val="006544C4"/>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4">
    <w:name w:val="Medium Grid 2 Accent 4"/>
    <w:basedOn w:val="TableNormal"/>
    <w:uiPriority w:val="99"/>
    <w:semiHidden/>
    <w:rsid w:val="006544C4"/>
    <w:rPr>
      <w:rFonts w:eastAsia="MS Gothic"/>
      <w:color w:val="000000"/>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cPr>
      <w:shd w:val="clear" w:color="auto" w:fill="E5E5E5"/>
    </w:tcPr>
    <w:tblStylePr w:type="firstRow">
      <w:rPr>
        <w:rFonts w:cs="Times New Roman"/>
        <w:b/>
        <w:bCs/>
        <w:color w:val="000000"/>
      </w:rPr>
      <w:tblPr/>
      <w:tcPr>
        <w:shd w:val="clear" w:color="auto" w:fill="F4F4F4"/>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EAEAEA"/>
      </w:tcPr>
    </w:tblStylePr>
    <w:tblStylePr w:type="band1Vert">
      <w:rPr>
        <w:rFonts w:cs="Times New Roman"/>
      </w:rPr>
      <w:tblPr/>
      <w:tcPr>
        <w:shd w:val="clear" w:color="auto" w:fill="CACACA"/>
      </w:tcPr>
    </w:tblStylePr>
    <w:tblStylePr w:type="band1Horz">
      <w:rPr>
        <w:rFonts w:cs="Times New Roman"/>
      </w:rPr>
      <w:tblPr/>
      <w:tcPr>
        <w:tcBorders>
          <w:insideH w:val="single" w:sz="6" w:space="0" w:color="969696"/>
          <w:insideV w:val="single" w:sz="6" w:space="0" w:color="969696"/>
        </w:tcBorders>
        <w:shd w:val="clear" w:color="auto" w:fill="CACACA"/>
      </w:tcPr>
    </w:tblStylePr>
    <w:tblStylePr w:type="nwCell">
      <w:rPr>
        <w:rFonts w:cs="Times New Roman"/>
      </w:rPr>
      <w:tblPr/>
      <w:tcPr>
        <w:shd w:val="clear" w:color="auto" w:fill="0072BC"/>
      </w:tcPr>
    </w:tblStylePr>
  </w:style>
  <w:style w:type="table" w:styleId="MediumGrid2-Accent5">
    <w:name w:val="Medium Grid 2 Accent 5"/>
    <w:basedOn w:val="TableNormal"/>
    <w:uiPriority w:val="99"/>
    <w:semiHidden/>
    <w:rsid w:val="006544C4"/>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6">
    <w:name w:val="Medium Grid 2 Accent 6"/>
    <w:basedOn w:val="TableNormal"/>
    <w:uiPriority w:val="99"/>
    <w:semiHidden/>
    <w:rsid w:val="006544C4"/>
    <w:rPr>
      <w:rFonts w:eastAsia="MS Gothic"/>
      <w:color w:val="000000"/>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cPr>
      <w:shd w:val="clear" w:color="auto" w:fill="D3D3D3"/>
    </w:tcPr>
    <w:tblStylePr w:type="firstRow">
      <w:rPr>
        <w:rFonts w:cs="Times New Roman"/>
        <w:b/>
        <w:bCs/>
        <w:color w:val="000000"/>
      </w:rPr>
      <w:tblPr/>
      <w:tcPr>
        <w:shd w:val="clear" w:color="auto" w:fill="ED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BDBDB"/>
      </w:tcPr>
    </w:tblStylePr>
    <w:tblStylePr w:type="band1Vert">
      <w:rPr>
        <w:rFonts w:cs="Times New Roman"/>
      </w:rPr>
      <w:tblPr/>
      <w:tcPr>
        <w:shd w:val="clear" w:color="auto" w:fill="A6A6A6"/>
      </w:tcPr>
    </w:tblStylePr>
    <w:tblStylePr w:type="band1Horz">
      <w:rPr>
        <w:rFonts w:cs="Times New Roman"/>
      </w:rPr>
      <w:tblPr/>
      <w:tcPr>
        <w:tcBorders>
          <w:insideH w:val="single" w:sz="6" w:space="0" w:color="4D4D4D"/>
          <w:insideV w:val="single" w:sz="6" w:space="0" w:color="4D4D4D"/>
        </w:tcBorders>
        <w:shd w:val="clear" w:color="auto" w:fill="A6A6A6"/>
      </w:tcPr>
    </w:tblStylePr>
    <w:tblStylePr w:type="nwCell">
      <w:rPr>
        <w:rFonts w:cs="Times New Roman"/>
      </w:rPr>
      <w:tblPr/>
      <w:tcPr>
        <w:shd w:val="clear" w:color="auto" w:fill="0072BC"/>
      </w:tcPr>
    </w:tblStylePr>
  </w:style>
  <w:style w:type="table" w:styleId="MediumGrid3">
    <w:name w:val="Medium Grid 3"/>
    <w:basedOn w:val="TableNormal"/>
    <w:uiPriority w:val="99"/>
    <w:semiHidden/>
    <w:rsid w:val="006544C4"/>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C0C0C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6544C4"/>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AFDFFF"/>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6544C4"/>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FFB0B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6544C4"/>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6544C4"/>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E5E5E5"/>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6544C4"/>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6544C4"/>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3D3D3"/>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6544C4"/>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0000"/>
        </w:tcBorders>
      </w:tcPr>
    </w:tblStylePr>
    <w:tblStylePr w:type="lastRow">
      <w:rPr>
        <w:rFonts w:cs="Times New Roman"/>
        <w:b/>
        <w:bCs/>
        <w:color w:val="C6C6C6"/>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semiHidden/>
    <w:rsid w:val="006544C4"/>
    <w:rPr>
      <w:color w:val="000000"/>
      <w:sz w:val="20"/>
      <w:szCs w:val="20"/>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72BC"/>
        </w:tcBorders>
      </w:tcPr>
    </w:tblStylePr>
    <w:tblStylePr w:type="lastRow">
      <w:rPr>
        <w:rFonts w:cs="Times New Roman"/>
        <w:b/>
        <w:bCs/>
        <w:color w:val="C6C6C6"/>
      </w:rPr>
      <w:tblPr/>
      <w:tcPr>
        <w:tcBorders>
          <w:top w:val="single" w:sz="8" w:space="0" w:color="0072BC"/>
          <w:bottom w:val="single" w:sz="8" w:space="0" w:color="0072BC"/>
        </w:tcBorders>
      </w:tcPr>
    </w:tblStylePr>
    <w:tblStylePr w:type="firstCol">
      <w:rPr>
        <w:rFonts w:cs="Times New Roman"/>
        <w:b/>
        <w:bCs/>
      </w:rPr>
    </w:tblStylePr>
    <w:tblStylePr w:type="lastCol">
      <w:rPr>
        <w:rFonts w:cs="Times New Roman"/>
        <w:b/>
        <w:bCs/>
      </w:rPr>
      <w:tblPr/>
      <w:tcPr>
        <w:tcBorders>
          <w:top w:val="single" w:sz="8" w:space="0" w:color="0072BC"/>
          <w:bottom w:val="single" w:sz="8" w:space="0" w:color="0072BC"/>
        </w:tcBorders>
      </w:tcPr>
    </w:tblStylePr>
    <w:tblStylePr w:type="band1Vert">
      <w:rPr>
        <w:rFonts w:cs="Times New Roman"/>
      </w:rPr>
      <w:tblPr/>
      <w:tcPr>
        <w:shd w:val="clear" w:color="auto" w:fill="AFDFFF"/>
      </w:tcPr>
    </w:tblStylePr>
    <w:tblStylePr w:type="band1Horz">
      <w:rPr>
        <w:rFonts w:cs="Times New Roman"/>
      </w:rPr>
      <w:tblPr/>
      <w:tcPr>
        <w:shd w:val="clear" w:color="auto" w:fill="AFDFFF"/>
      </w:tcPr>
    </w:tblStylePr>
  </w:style>
  <w:style w:type="table" w:styleId="MediumList1-Accent2">
    <w:name w:val="Medium List 1 Accent 2"/>
    <w:basedOn w:val="TableNormal"/>
    <w:uiPriority w:val="99"/>
    <w:semiHidden/>
    <w:rsid w:val="006544C4"/>
    <w:rPr>
      <w:color w:val="000000"/>
      <w:sz w:val="20"/>
      <w:szCs w:val="2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C00000"/>
        </w:tcBorders>
      </w:tcPr>
    </w:tblStylePr>
    <w:tblStylePr w:type="lastRow">
      <w:rPr>
        <w:rFonts w:cs="Times New Roman"/>
        <w:b/>
        <w:bCs/>
        <w:color w:val="C6C6C6"/>
      </w:rPr>
      <w:tblPr/>
      <w:tcPr>
        <w:tcBorders>
          <w:top w:val="single" w:sz="8" w:space="0" w:color="C00000"/>
          <w:bottom w:val="single" w:sz="8" w:space="0" w:color="C00000"/>
        </w:tcBorders>
      </w:tcPr>
    </w:tblStylePr>
    <w:tblStylePr w:type="firstCol">
      <w:rPr>
        <w:rFonts w:cs="Times New Roman"/>
        <w:b/>
        <w:bCs/>
      </w:rPr>
    </w:tblStylePr>
    <w:tblStylePr w:type="lastCol">
      <w:rPr>
        <w:rFonts w:cs="Times New Roman"/>
        <w:b/>
        <w:bCs/>
      </w:rPr>
      <w:tblPr/>
      <w:tcPr>
        <w:tcBorders>
          <w:top w:val="single" w:sz="8" w:space="0" w:color="C00000"/>
          <w:bottom w:val="single" w:sz="8" w:space="0" w:color="C00000"/>
        </w:tcBorders>
      </w:tcPr>
    </w:tblStylePr>
    <w:tblStylePr w:type="band1Vert">
      <w:rPr>
        <w:rFonts w:cs="Times New Roman"/>
      </w:rPr>
      <w:tblPr/>
      <w:tcPr>
        <w:shd w:val="clear" w:color="auto" w:fill="FFB0B0"/>
      </w:tcPr>
    </w:tblStylePr>
    <w:tblStylePr w:type="band1Horz">
      <w:rPr>
        <w:rFonts w:cs="Times New Roman"/>
      </w:rPr>
      <w:tblPr/>
      <w:tcPr>
        <w:shd w:val="clear" w:color="auto" w:fill="FFB0B0"/>
      </w:tcPr>
    </w:tblStylePr>
  </w:style>
  <w:style w:type="table" w:styleId="MediumList1-Accent3">
    <w:name w:val="Medium List 1 Accent 3"/>
    <w:basedOn w:val="TableNormal"/>
    <w:uiPriority w:val="99"/>
    <w:semiHidden/>
    <w:rsid w:val="006544C4"/>
    <w:rPr>
      <w:color w:val="000000"/>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4">
    <w:name w:val="Medium List 1 Accent 4"/>
    <w:basedOn w:val="TableNormal"/>
    <w:uiPriority w:val="99"/>
    <w:semiHidden/>
    <w:rsid w:val="006544C4"/>
    <w:rPr>
      <w:color w:val="000000"/>
      <w:sz w:val="20"/>
      <w:szCs w:val="2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969696"/>
        </w:tcBorders>
      </w:tcPr>
    </w:tblStylePr>
    <w:tblStylePr w:type="lastRow">
      <w:rPr>
        <w:rFonts w:cs="Times New Roman"/>
        <w:b/>
        <w:bCs/>
        <w:color w:val="C6C6C6"/>
      </w:rPr>
      <w:tblPr/>
      <w:tcPr>
        <w:tcBorders>
          <w:top w:val="single" w:sz="8" w:space="0" w:color="969696"/>
          <w:bottom w:val="single" w:sz="8" w:space="0" w:color="969696"/>
        </w:tcBorders>
      </w:tcPr>
    </w:tblStylePr>
    <w:tblStylePr w:type="firstCol">
      <w:rPr>
        <w:rFonts w:cs="Times New Roman"/>
        <w:b/>
        <w:bCs/>
      </w:rPr>
    </w:tblStylePr>
    <w:tblStylePr w:type="lastCol">
      <w:rPr>
        <w:rFonts w:cs="Times New Roman"/>
        <w:b/>
        <w:bCs/>
      </w:rPr>
      <w:tblPr/>
      <w:tcPr>
        <w:tcBorders>
          <w:top w:val="single" w:sz="8" w:space="0" w:color="969696"/>
          <w:bottom w:val="single" w:sz="8" w:space="0" w:color="969696"/>
        </w:tcBorders>
      </w:tcPr>
    </w:tblStylePr>
    <w:tblStylePr w:type="band1Vert">
      <w:rPr>
        <w:rFonts w:cs="Times New Roman"/>
      </w:rPr>
      <w:tblPr/>
      <w:tcPr>
        <w:shd w:val="clear" w:color="auto" w:fill="E5E5E5"/>
      </w:tcPr>
    </w:tblStylePr>
    <w:tblStylePr w:type="band1Horz">
      <w:rPr>
        <w:rFonts w:cs="Times New Roman"/>
      </w:rPr>
      <w:tblPr/>
      <w:tcPr>
        <w:shd w:val="clear" w:color="auto" w:fill="E5E5E5"/>
      </w:tcPr>
    </w:tblStylePr>
  </w:style>
  <w:style w:type="table" w:styleId="MediumList1-Accent5">
    <w:name w:val="Medium List 1 Accent 5"/>
    <w:basedOn w:val="TableNormal"/>
    <w:uiPriority w:val="99"/>
    <w:semiHidden/>
    <w:rsid w:val="006544C4"/>
    <w:rPr>
      <w:color w:val="000000"/>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6">
    <w:name w:val="Medium List 1 Accent 6"/>
    <w:basedOn w:val="TableNormal"/>
    <w:uiPriority w:val="99"/>
    <w:semiHidden/>
    <w:rsid w:val="006544C4"/>
    <w:rPr>
      <w:color w:val="000000"/>
      <w:sz w:val="20"/>
      <w:szCs w:val="20"/>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4D4D4D"/>
        </w:tcBorders>
      </w:tcPr>
    </w:tblStylePr>
    <w:tblStylePr w:type="lastRow">
      <w:rPr>
        <w:rFonts w:cs="Times New Roman"/>
        <w:b/>
        <w:bCs/>
        <w:color w:val="C6C6C6"/>
      </w:rPr>
      <w:tblPr/>
      <w:tcPr>
        <w:tcBorders>
          <w:top w:val="single" w:sz="8" w:space="0" w:color="4D4D4D"/>
          <w:bottom w:val="single" w:sz="8" w:space="0" w:color="4D4D4D"/>
        </w:tcBorders>
      </w:tcPr>
    </w:tblStylePr>
    <w:tblStylePr w:type="firstCol">
      <w:rPr>
        <w:rFonts w:cs="Times New Roman"/>
        <w:b/>
        <w:bCs/>
      </w:rPr>
    </w:tblStylePr>
    <w:tblStylePr w:type="lastCol">
      <w:rPr>
        <w:rFonts w:cs="Times New Roman"/>
        <w:b/>
        <w:bCs/>
      </w:rPr>
      <w:tblPr/>
      <w:tcPr>
        <w:tcBorders>
          <w:top w:val="single" w:sz="8" w:space="0" w:color="4D4D4D"/>
          <w:bottom w:val="single" w:sz="8" w:space="0" w:color="4D4D4D"/>
        </w:tcBorders>
      </w:tcPr>
    </w:tblStylePr>
    <w:tblStylePr w:type="band1Vert">
      <w:rPr>
        <w:rFonts w:cs="Times New Roman"/>
      </w:rPr>
      <w:tblPr/>
      <w:tcPr>
        <w:shd w:val="clear" w:color="auto" w:fill="D3D3D3"/>
      </w:tcPr>
    </w:tblStylePr>
    <w:tblStylePr w:type="band1Horz">
      <w:rPr>
        <w:rFonts w:cs="Times New Roman"/>
      </w:rPr>
      <w:tblPr/>
      <w:tcPr>
        <w:shd w:val="clear" w:color="auto" w:fill="D3D3D3"/>
      </w:tcPr>
    </w:tblStylePr>
  </w:style>
  <w:style w:type="table" w:styleId="MediumList2">
    <w:name w:val="Medium List 2"/>
    <w:basedOn w:val="TableNormal"/>
    <w:uiPriority w:val="99"/>
    <w:semiHidden/>
    <w:rsid w:val="006544C4"/>
    <w:rPr>
      <w:rFonts w:eastAsia="MS Gothic"/>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0072BC"/>
      </w:tcPr>
    </w:tblStylePr>
    <w:tblStylePr w:type="lastRow">
      <w:rPr>
        <w:rFonts w:cs="Times New Roman"/>
      </w:rPr>
      <w:tblPr/>
      <w:tcPr>
        <w:tcBorders>
          <w:top w:val="single" w:sz="8" w:space="0" w:color="0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0000"/>
          <w:insideH w:val="nil"/>
          <w:insideV w:val="nil"/>
        </w:tcBorders>
        <w:shd w:val="clear" w:color="auto" w:fill="0072BC"/>
      </w:tcPr>
    </w:tblStylePr>
    <w:tblStylePr w:type="lastCol">
      <w:rPr>
        <w:rFonts w:cs="Times New Roman"/>
      </w:rPr>
      <w:tblPr/>
      <w:tcPr>
        <w:tcBorders>
          <w:top w:val="nil"/>
          <w:left w:val="single" w:sz="8" w:space="0" w:color="0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1">
    <w:name w:val="Medium List 2 Accent 1"/>
    <w:basedOn w:val="TableNormal"/>
    <w:uiPriority w:val="99"/>
    <w:semiHidden/>
    <w:rsid w:val="006544C4"/>
    <w:rPr>
      <w:rFonts w:eastAsia="MS Gothic"/>
      <w:color w:val="000000"/>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72BC"/>
          <w:right w:val="nil"/>
          <w:insideH w:val="nil"/>
          <w:insideV w:val="nil"/>
        </w:tcBorders>
        <w:shd w:val="clear" w:color="auto" w:fill="0072BC"/>
      </w:tcPr>
    </w:tblStylePr>
    <w:tblStylePr w:type="lastRow">
      <w:rPr>
        <w:rFonts w:cs="Times New Roman"/>
      </w:rPr>
      <w:tblPr/>
      <w:tcPr>
        <w:tcBorders>
          <w:top w:val="single" w:sz="8" w:space="0" w:color="0072BC"/>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72BC"/>
          <w:insideH w:val="nil"/>
          <w:insideV w:val="nil"/>
        </w:tcBorders>
        <w:shd w:val="clear" w:color="auto" w:fill="0072BC"/>
      </w:tcPr>
    </w:tblStylePr>
    <w:tblStylePr w:type="lastCol">
      <w:rPr>
        <w:rFonts w:cs="Times New Roman"/>
      </w:rPr>
      <w:tblPr/>
      <w:tcPr>
        <w:tcBorders>
          <w:top w:val="nil"/>
          <w:left w:val="single" w:sz="8" w:space="0" w:color="0072BC"/>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top w:val="nil"/>
          <w:bottom w:val="nil"/>
          <w:insideH w:val="nil"/>
          <w:insideV w:val="nil"/>
        </w:tcBorders>
        <w:shd w:val="clear" w:color="auto" w:fill="AFDFFF"/>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2">
    <w:name w:val="Medium List 2 Accent 2"/>
    <w:basedOn w:val="TableNormal"/>
    <w:uiPriority w:val="99"/>
    <w:semiHidden/>
    <w:rsid w:val="006544C4"/>
    <w:rPr>
      <w:rFonts w:eastAsia="MS Gothic"/>
      <w:color w:val="000000"/>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0000"/>
          <w:right w:val="nil"/>
          <w:insideH w:val="nil"/>
          <w:insideV w:val="nil"/>
        </w:tcBorders>
        <w:shd w:val="clear" w:color="auto" w:fill="0072BC"/>
      </w:tcPr>
    </w:tblStylePr>
    <w:tblStylePr w:type="lastRow">
      <w:rPr>
        <w:rFonts w:cs="Times New Roman"/>
      </w:rPr>
      <w:tblPr/>
      <w:tcPr>
        <w:tcBorders>
          <w:top w:val="single" w:sz="8" w:space="0" w:color="C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C00000"/>
          <w:insideH w:val="nil"/>
          <w:insideV w:val="nil"/>
        </w:tcBorders>
        <w:shd w:val="clear" w:color="auto" w:fill="0072BC"/>
      </w:tcPr>
    </w:tblStylePr>
    <w:tblStylePr w:type="lastCol">
      <w:rPr>
        <w:rFonts w:cs="Times New Roman"/>
      </w:rPr>
      <w:tblPr/>
      <w:tcPr>
        <w:tcBorders>
          <w:top w:val="nil"/>
          <w:left w:val="single" w:sz="8" w:space="0" w:color="C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top w:val="nil"/>
          <w:bottom w:val="nil"/>
          <w:insideH w:val="nil"/>
          <w:insideV w:val="nil"/>
        </w:tcBorders>
        <w:shd w:val="clear" w:color="auto" w:fill="FFB0B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3">
    <w:name w:val="Medium List 2 Accent 3"/>
    <w:basedOn w:val="TableNormal"/>
    <w:uiPriority w:val="99"/>
    <w:semiHidden/>
    <w:rsid w:val="006544C4"/>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4">
    <w:name w:val="Medium List 2 Accent 4"/>
    <w:basedOn w:val="TableNormal"/>
    <w:uiPriority w:val="99"/>
    <w:semiHidden/>
    <w:rsid w:val="006544C4"/>
    <w:rPr>
      <w:rFonts w:eastAsia="MS Gothic"/>
      <w:color w:val="000000"/>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69696"/>
          <w:right w:val="nil"/>
          <w:insideH w:val="nil"/>
          <w:insideV w:val="nil"/>
        </w:tcBorders>
        <w:shd w:val="clear" w:color="auto" w:fill="0072BC"/>
      </w:tcPr>
    </w:tblStylePr>
    <w:tblStylePr w:type="lastRow">
      <w:rPr>
        <w:rFonts w:cs="Times New Roman"/>
      </w:rPr>
      <w:tblPr/>
      <w:tcPr>
        <w:tcBorders>
          <w:top w:val="single" w:sz="8" w:space="0" w:color="969696"/>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969696"/>
          <w:insideH w:val="nil"/>
          <w:insideV w:val="nil"/>
        </w:tcBorders>
        <w:shd w:val="clear" w:color="auto" w:fill="0072BC"/>
      </w:tcPr>
    </w:tblStylePr>
    <w:tblStylePr w:type="lastCol">
      <w:rPr>
        <w:rFonts w:cs="Times New Roman"/>
      </w:rPr>
      <w:tblPr/>
      <w:tcPr>
        <w:tcBorders>
          <w:top w:val="nil"/>
          <w:left w:val="single" w:sz="8" w:space="0" w:color="969696"/>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top w:val="nil"/>
          <w:bottom w:val="nil"/>
          <w:insideH w:val="nil"/>
          <w:insideV w:val="nil"/>
        </w:tcBorders>
        <w:shd w:val="clear" w:color="auto" w:fill="E5E5E5"/>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5">
    <w:name w:val="Medium List 2 Accent 5"/>
    <w:basedOn w:val="TableNormal"/>
    <w:uiPriority w:val="99"/>
    <w:semiHidden/>
    <w:rsid w:val="006544C4"/>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6">
    <w:name w:val="Medium List 2 Accent 6"/>
    <w:basedOn w:val="TableNormal"/>
    <w:uiPriority w:val="99"/>
    <w:semiHidden/>
    <w:rsid w:val="006544C4"/>
    <w:rPr>
      <w:rFonts w:eastAsia="MS Gothic"/>
      <w:color w:val="000000"/>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D4D4D"/>
          <w:right w:val="nil"/>
          <w:insideH w:val="nil"/>
          <w:insideV w:val="nil"/>
        </w:tcBorders>
        <w:shd w:val="clear" w:color="auto" w:fill="0072BC"/>
      </w:tcPr>
    </w:tblStylePr>
    <w:tblStylePr w:type="lastRow">
      <w:rPr>
        <w:rFonts w:cs="Times New Roman"/>
      </w:rPr>
      <w:tblPr/>
      <w:tcPr>
        <w:tcBorders>
          <w:top w:val="single" w:sz="8" w:space="0" w:color="4D4D4D"/>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4D4D4D"/>
          <w:insideH w:val="nil"/>
          <w:insideV w:val="nil"/>
        </w:tcBorders>
        <w:shd w:val="clear" w:color="auto" w:fill="0072BC"/>
      </w:tcPr>
    </w:tblStylePr>
    <w:tblStylePr w:type="lastCol">
      <w:rPr>
        <w:rFonts w:cs="Times New Roman"/>
      </w:rPr>
      <w:tblPr/>
      <w:tcPr>
        <w:tcBorders>
          <w:top w:val="nil"/>
          <w:left w:val="single" w:sz="8" w:space="0" w:color="4D4D4D"/>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top w:val="nil"/>
          <w:bottom w:val="nil"/>
          <w:insideH w:val="nil"/>
          <w:insideV w:val="nil"/>
        </w:tcBorders>
        <w:shd w:val="clear" w:color="auto" w:fill="D3D3D3"/>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Shading1">
    <w:name w:val="Medium Shading 1"/>
    <w:basedOn w:val="TableNormal"/>
    <w:uiPriority w:val="99"/>
    <w:semiHidden/>
    <w:rsid w:val="006544C4"/>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semiHidden/>
    <w:rsid w:val="006544C4"/>
    <w:rPr>
      <w:sz w:val="20"/>
      <w:szCs w:val="20"/>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rFonts w:cs="Times New Roman"/>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DFFF"/>
      </w:tcPr>
    </w:tblStylePr>
    <w:tblStylePr w:type="band1Horz">
      <w:rPr>
        <w:rFonts w:cs="Times New Roman"/>
      </w:rPr>
      <w:tblPr/>
      <w:tcPr>
        <w:tcBorders>
          <w:insideH w:val="nil"/>
          <w:insideV w:val="nil"/>
        </w:tcBorders>
        <w:shd w:val="clear" w:color="auto" w:fill="AFDFFF"/>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semiHidden/>
    <w:rsid w:val="006544C4"/>
    <w:rPr>
      <w:sz w:val="20"/>
      <w:szCs w:val="20"/>
    </w:rPr>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rFonts w:cs="Times New Roman"/>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0B0"/>
      </w:tcPr>
    </w:tblStylePr>
    <w:tblStylePr w:type="band1Horz">
      <w:rPr>
        <w:rFonts w:cs="Times New Roman"/>
      </w:rPr>
      <w:tblPr/>
      <w:tcPr>
        <w:tcBorders>
          <w:insideH w:val="nil"/>
          <w:insideV w:val="nil"/>
        </w:tcBorders>
        <w:shd w:val="clear" w:color="auto" w:fill="FFB0B0"/>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semiHidden/>
    <w:rsid w:val="006544C4"/>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semiHidden/>
    <w:rsid w:val="006544C4"/>
    <w:rPr>
      <w:sz w:val="20"/>
      <w:szCs w:val="20"/>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rFonts w:cs="Times New Roman"/>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E5E5"/>
      </w:tcPr>
    </w:tblStylePr>
    <w:tblStylePr w:type="band1Horz">
      <w:rPr>
        <w:rFonts w:cs="Times New Roman"/>
      </w:rPr>
      <w:tblPr/>
      <w:tcPr>
        <w:tcBorders>
          <w:insideH w:val="nil"/>
          <w:insideV w:val="nil"/>
        </w:tcBorders>
        <w:shd w:val="clear" w:color="auto" w:fill="E5E5E5"/>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semiHidden/>
    <w:rsid w:val="006544C4"/>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semiHidden/>
    <w:rsid w:val="006544C4"/>
    <w:rPr>
      <w:sz w:val="20"/>
      <w:szCs w:val="20"/>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rFonts w:cs="Times New Roman"/>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3D3"/>
      </w:tcPr>
    </w:tblStylePr>
    <w:tblStylePr w:type="band1Horz">
      <w:rPr>
        <w:rFonts w:cs="Times New Roman"/>
      </w:rPr>
      <w:tblPr/>
      <w:tcPr>
        <w:tcBorders>
          <w:insideH w:val="nil"/>
          <w:insideV w:val="nil"/>
        </w:tcBorders>
        <w:shd w:val="clear" w:color="auto" w:fill="D3D3D3"/>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semiHidden/>
    <w:rsid w:val="006544C4"/>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0072BC"/>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6544C4"/>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72BC"/>
      </w:tcPr>
    </w:tblStylePr>
    <w:tblStylePr w:type="lastCol">
      <w:rPr>
        <w:rFonts w:cs="Times New Roman"/>
        <w:b/>
        <w:bCs/>
        <w:color w:val="0072BC"/>
      </w:rPr>
      <w:tblPr/>
      <w:tcPr>
        <w:tcBorders>
          <w:left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6544C4"/>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C00000"/>
      </w:tcPr>
    </w:tblStylePr>
    <w:tblStylePr w:type="lastCol">
      <w:rPr>
        <w:rFonts w:cs="Times New Roman"/>
        <w:b/>
        <w:bCs/>
        <w:color w:val="0072BC"/>
      </w:rPr>
      <w:tblPr/>
      <w:tcPr>
        <w:tcBorders>
          <w:left w:val="nil"/>
          <w:right w:val="nil"/>
          <w:insideH w:val="nil"/>
          <w:insideV w:val="nil"/>
        </w:tcBorders>
        <w:shd w:val="clear" w:color="auto" w:fill="C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6544C4"/>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6544C4"/>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969696"/>
      </w:tcPr>
    </w:tblStylePr>
    <w:tblStylePr w:type="lastCol">
      <w:rPr>
        <w:rFonts w:cs="Times New Roman"/>
        <w:b/>
        <w:bCs/>
        <w:color w:val="0072BC"/>
      </w:rPr>
      <w:tblPr/>
      <w:tcPr>
        <w:tcBorders>
          <w:left w:val="nil"/>
          <w:right w:val="nil"/>
          <w:insideH w:val="nil"/>
          <w:insideV w:val="nil"/>
        </w:tcBorders>
        <w:shd w:val="clear" w:color="auto" w:fill="969696"/>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6544C4"/>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6544C4"/>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4D4D4D"/>
      </w:tcPr>
    </w:tblStylePr>
    <w:tblStylePr w:type="lastCol">
      <w:rPr>
        <w:rFonts w:cs="Times New Roman"/>
        <w:b/>
        <w:bCs/>
        <w:color w:val="0072BC"/>
      </w:rPr>
      <w:tblPr/>
      <w:tcPr>
        <w:tcBorders>
          <w:left w:val="nil"/>
          <w:right w:val="nil"/>
          <w:insideH w:val="nil"/>
          <w:insideV w:val="nil"/>
        </w:tcBorders>
        <w:shd w:val="clear" w:color="auto" w:fill="4D4D4D"/>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MessageHeaderChar">
    <w:name w:val="Message Header Char"/>
    <w:basedOn w:val="DefaultParagraphFont"/>
    <w:link w:val="MessageHeader"/>
    <w:uiPriority w:val="99"/>
    <w:semiHidden/>
    <w:locked/>
    <w:rsid w:val="006544C4"/>
    <w:rPr>
      <w:rFonts w:ascii="Times New Roman" w:eastAsia="MS Gothic" w:hAnsi="Times New Roman" w:cs="Times New Roman"/>
      <w:sz w:val="24"/>
      <w:szCs w:val="24"/>
      <w:shd w:val="pct20" w:color="auto" w:fill="auto"/>
    </w:rPr>
  </w:style>
  <w:style w:type="paragraph" w:styleId="NormalWeb">
    <w:name w:val="Normal (Web)"/>
    <w:basedOn w:val="Normal"/>
    <w:uiPriority w:val="99"/>
    <w:semiHidden/>
    <w:rsid w:val="006544C4"/>
    <w:rPr>
      <w:szCs w:val="24"/>
    </w:rPr>
  </w:style>
  <w:style w:type="paragraph" w:styleId="NormalIndent">
    <w:name w:val="Normal Indent"/>
    <w:basedOn w:val="Normal"/>
    <w:uiPriority w:val="99"/>
    <w:semiHidden/>
    <w:rsid w:val="006544C4"/>
    <w:pPr>
      <w:ind w:left="720"/>
    </w:pPr>
  </w:style>
  <w:style w:type="paragraph" w:styleId="NoteHeading">
    <w:name w:val="Note Heading"/>
    <w:basedOn w:val="Normal"/>
    <w:next w:val="Normal"/>
    <w:link w:val="NoteHeadingChar"/>
    <w:uiPriority w:val="99"/>
    <w:semiHidden/>
    <w:rsid w:val="006544C4"/>
  </w:style>
  <w:style w:type="character" w:customStyle="1" w:styleId="NoteHeadingChar">
    <w:name w:val="Note Heading Char"/>
    <w:basedOn w:val="DefaultParagraphFont"/>
    <w:link w:val="NoteHeading"/>
    <w:uiPriority w:val="99"/>
    <w:semiHidden/>
    <w:locked/>
    <w:rsid w:val="006544C4"/>
    <w:rPr>
      <w:rFonts w:eastAsia="MS Mincho" w:cs="Times New Roman"/>
      <w:sz w:val="24"/>
    </w:rPr>
  </w:style>
  <w:style w:type="character" w:styleId="PlaceholderText">
    <w:name w:val="Placeholder Text"/>
    <w:basedOn w:val="DefaultParagraphFont"/>
    <w:uiPriority w:val="99"/>
    <w:semiHidden/>
    <w:rsid w:val="006544C4"/>
    <w:rPr>
      <w:rFonts w:cs="Times New Roman"/>
      <w:color w:val="808080"/>
    </w:rPr>
  </w:style>
  <w:style w:type="paragraph" w:styleId="PlainText">
    <w:name w:val="Plain Text"/>
    <w:basedOn w:val="Normal"/>
    <w:link w:val="PlainTextChar"/>
    <w:uiPriority w:val="99"/>
    <w:semiHidden/>
    <w:rsid w:val="006544C4"/>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6544C4"/>
    <w:rPr>
      <w:rFonts w:ascii="Consolas" w:eastAsia="MS Mincho" w:hAnsi="Consolas" w:cs="Consolas"/>
      <w:sz w:val="21"/>
      <w:szCs w:val="21"/>
    </w:rPr>
  </w:style>
  <w:style w:type="paragraph" w:styleId="Salutation">
    <w:name w:val="Salutation"/>
    <w:basedOn w:val="Normal"/>
    <w:next w:val="Normal"/>
    <w:link w:val="SalutationChar"/>
    <w:uiPriority w:val="99"/>
    <w:semiHidden/>
    <w:rsid w:val="006544C4"/>
  </w:style>
  <w:style w:type="character" w:customStyle="1" w:styleId="SalutationChar">
    <w:name w:val="Salutation Char"/>
    <w:basedOn w:val="DefaultParagraphFont"/>
    <w:link w:val="Salutation"/>
    <w:uiPriority w:val="99"/>
    <w:semiHidden/>
    <w:locked/>
    <w:rsid w:val="006544C4"/>
    <w:rPr>
      <w:rFonts w:eastAsia="MS Mincho" w:cs="Times New Roman"/>
      <w:sz w:val="24"/>
    </w:rPr>
  </w:style>
  <w:style w:type="paragraph" w:styleId="Signature">
    <w:name w:val="Signature"/>
    <w:basedOn w:val="Normal"/>
    <w:link w:val="SignatureChar"/>
    <w:uiPriority w:val="99"/>
    <w:semiHidden/>
    <w:rsid w:val="006544C4"/>
    <w:pPr>
      <w:ind w:left="4252"/>
    </w:pPr>
  </w:style>
  <w:style w:type="character" w:customStyle="1" w:styleId="SignatureChar">
    <w:name w:val="Signature Char"/>
    <w:basedOn w:val="DefaultParagraphFont"/>
    <w:link w:val="Signature"/>
    <w:uiPriority w:val="99"/>
    <w:semiHidden/>
    <w:locked/>
    <w:rsid w:val="006544C4"/>
    <w:rPr>
      <w:rFonts w:eastAsia="MS Mincho" w:cs="Times New Roman"/>
      <w:sz w:val="24"/>
    </w:rPr>
  </w:style>
  <w:style w:type="table" w:styleId="Table3Deffects1">
    <w:name w:val="Table 3D effects 1"/>
    <w:basedOn w:val="TableNormal"/>
    <w:uiPriority w:val="99"/>
    <w:semiHidden/>
    <w:rsid w:val="006544C4"/>
    <w:pPr>
      <w:jc w:val="both"/>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6544C4"/>
    <w:pPr>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6544C4"/>
    <w:pPr>
      <w:jc w:val="both"/>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6544C4"/>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6544C4"/>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6544C4"/>
    <w:pPr>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6544C4"/>
    <w:pPr>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6544C4"/>
    <w:pPr>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6544C4"/>
    <w:pPr>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6544C4"/>
    <w:pPr>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6544C4"/>
    <w:pPr>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6544C4"/>
    <w:pPr>
      <w:jc w:val="both"/>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6544C4"/>
    <w:pPr>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6544C4"/>
    <w:pPr>
      <w:jc w:val="both"/>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6544C4"/>
    <w:pPr>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6544C4"/>
    <w:pPr>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6544C4"/>
    <w:pPr>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6544C4"/>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6544C4"/>
    <w:pPr>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6544C4"/>
    <w:pPr>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6544C4"/>
    <w:pPr>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6544C4"/>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6544C4"/>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6544C4"/>
    <w:pPr>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6544C4"/>
    <w:pPr>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6544C4"/>
    <w:pPr>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6544C4"/>
    <w:pPr>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6544C4"/>
    <w:pPr>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6544C4"/>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6544C4"/>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6544C4"/>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6544C4"/>
    <w:pPr>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6544C4"/>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6544C4"/>
    <w:pPr>
      <w:ind w:left="240" w:hanging="240"/>
    </w:pPr>
  </w:style>
  <w:style w:type="paragraph" w:styleId="TableofFigures">
    <w:name w:val="table of figures"/>
    <w:basedOn w:val="Normal"/>
    <w:next w:val="Normal"/>
    <w:uiPriority w:val="99"/>
    <w:semiHidden/>
    <w:rsid w:val="006544C4"/>
  </w:style>
  <w:style w:type="table" w:styleId="TableProfessional">
    <w:name w:val="Table Professional"/>
    <w:basedOn w:val="TableNormal"/>
    <w:uiPriority w:val="99"/>
    <w:semiHidden/>
    <w:rsid w:val="006544C4"/>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6544C4"/>
    <w:pPr>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6544C4"/>
    <w:pPr>
      <w:jc w:val="both"/>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6544C4"/>
    <w:pPr>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6544C4"/>
    <w:pPr>
      <w:jc w:val="both"/>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6544C4"/>
    <w:pPr>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6544C4"/>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6544C4"/>
    <w:pPr>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6544C4"/>
    <w:pPr>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6544C4"/>
    <w:pPr>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6544C4"/>
    <w:pPr>
      <w:spacing w:after="100"/>
      <w:ind w:left="1200"/>
    </w:pPr>
  </w:style>
  <w:style w:type="paragraph" w:styleId="TOC7">
    <w:name w:val="toc 7"/>
    <w:basedOn w:val="Normal"/>
    <w:next w:val="Normal"/>
    <w:autoRedefine/>
    <w:uiPriority w:val="99"/>
    <w:semiHidden/>
    <w:rsid w:val="006544C4"/>
    <w:pPr>
      <w:spacing w:after="100"/>
      <w:ind w:left="1440"/>
    </w:pPr>
  </w:style>
  <w:style w:type="paragraph" w:styleId="TOC8">
    <w:name w:val="toc 8"/>
    <w:basedOn w:val="Normal"/>
    <w:next w:val="Normal"/>
    <w:autoRedefine/>
    <w:uiPriority w:val="99"/>
    <w:semiHidden/>
    <w:rsid w:val="006544C4"/>
    <w:pPr>
      <w:spacing w:after="100"/>
      <w:ind w:left="1680"/>
    </w:pPr>
  </w:style>
  <w:style w:type="paragraph" w:styleId="TOC9">
    <w:name w:val="toc 9"/>
    <w:basedOn w:val="Normal"/>
    <w:next w:val="Normal"/>
    <w:autoRedefine/>
    <w:uiPriority w:val="99"/>
    <w:semiHidden/>
    <w:rsid w:val="006544C4"/>
    <w:pPr>
      <w:spacing w:after="100"/>
      <w:ind w:left="1920"/>
    </w:pPr>
  </w:style>
  <w:style w:type="paragraph" w:customStyle="1" w:styleId="JuCase">
    <w:name w:val="Ju_Case"/>
    <w:basedOn w:val="Normal"/>
    <w:next w:val="Normal"/>
    <w:uiPriority w:val="99"/>
    <w:rsid w:val="007C0B2A"/>
    <w:pPr>
      <w:ind w:firstLine="284"/>
    </w:pPr>
    <w:rPr>
      <w:b/>
    </w:rPr>
  </w:style>
  <w:style w:type="character" w:customStyle="1" w:styleId="JuParaCar">
    <w:name w:val="Ju_Para Car"/>
    <w:link w:val="ECHRPara"/>
    <w:uiPriority w:val="99"/>
    <w:locked/>
    <w:rsid w:val="007C0B2A"/>
    <w:rPr>
      <w:rFonts w:eastAsia="MS Mincho"/>
      <w:sz w:val="24"/>
    </w:rPr>
  </w:style>
  <w:style w:type="character" w:customStyle="1" w:styleId="s6b621b36">
    <w:name w:val="s6b621b36"/>
    <w:basedOn w:val="DefaultParagraphFont"/>
    <w:uiPriority w:val="99"/>
    <w:rsid w:val="007C0B2A"/>
    <w:rPr>
      <w:rFonts w:cs="Times New Roman"/>
    </w:rPr>
  </w:style>
  <w:style w:type="character" w:customStyle="1" w:styleId="s1a844bc0">
    <w:name w:val="s1a844bc0"/>
    <w:basedOn w:val="DefaultParagraphFont"/>
    <w:uiPriority w:val="99"/>
    <w:rsid w:val="007C0B2A"/>
    <w:rPr>
      <w:rFonts w:cs="Times New Roman"/>
    </w:rPr>
  </w:style>
  <w:style w:type="character" w:customStyle="1" w:styleId="sb8d990e2">
    <w:name w:val="sb8d990e2"/>
    <w:basedOn w:val="DefaultParagraphFont"/>
    <w:uiPriority w:val="99"/>
    <w:rsid w:val="007C0B2A"/>
    <w:rPr>
      <w:rFonts w:cs="Times New Roman"/>
    </w:rPr>
  </w:style>
  <w:style w:type="character" w:customStyle="1" w:styleId="sea881cdfhasverticalalignsuper">
    <w:name w:val="sea881cdf hasverticalalignsuper"/>
    <w:basedOn w:val="DefaultParagraphFont"/>
    <w:uiPriority w:val="99"/>
    <w:rsid w:val="007C0B2A"/>
    <w:rPr>
      <w:rFonts w:cs="Times New Roman"/>
    </w:rPr>
  </w:style>
  <w:style w:type="character" w:customStyle="1" w:styleId="s7d2086b4">
    <w:name w:val="s7d2086b4"/>
    <w:basedOn w:val="DefaultParagraphFont"/>
    <w:uiPriority w:val="99"/>
    <w:rsid w:val="007C0B2A"/>
    <w:rPr>
      <w:rFonts w:cs="Times New Roman"/>
    </w:rPr>
  </w:style>
  <w:style w:type="character" w:customStyle="1" w:styleId="s547ceb99">
    <w:name w:val="s547ceb99"/>
    <w:basedOn w:val="DefaultParagraphFont"/>
    <w:uiPriority w:val="99"/>
    <w:rsid w:val="007C0B2A"/>
    <w:rPr>
      <w:rFonts w:cs="Times New Roman"/>
    </w:rPr>
  </w:style>
  <w:style w:type="character" w:customStyle="1" w:styleId="wordhighlighted">
    <w:name w:val="wordhighlighted"/>
    <w:basedOn w:val="DefaultParagraphFont"/>
    <w:uiPriority w:val="99"/>
    <w:rsid w:val="007C0B2A"/>
    <w:rPr>
      <w:rFonts w:cs="Times New Roman"/>
    </w:rPr>
  </w:style>
  <w:style w:type="paragraph" w:customStyle="1" w:styleId="s30eec3f8">
    <w:name w:val="s30eec3f8"/>
    <w:basedOn w:val="Normal"/>
    <w:uiPriority w:val="99"/>
    <w:rsid w:val="007C0B2A"/>
    <w:pPr>
      <w:spacing w:before="100" w:beforeAutospacing="1" w:after="100" w:afterAutospacing="1"/>
      <w:jc w:val="left"/>
    </w:pPr>
    <w:rPr>
      <w:rFonts w:eastAsia="Times New Roman"/>
      <w:szCs w:val="24"/>
    </w:rPr>
  </w:style>
  <w:style w:type="character" w:customStyle="1" w:styleId="sea881cdf">
    <w:name w:val="sea881cdf"/>
    <w:basedOn w:val="DefaultParagraphFont"/>
    <w:uiPriority w:val="99"/>
    <w:rsid w:val="007C0B2A"/>
    <w:rPr>
      <w:rFonts w:cs="Times New Roman"/>
    </w:rPr>
  </w:style>
  <w:style w:type="character" w:customStyle="1" w:styleId="normal--char">
    <w:name w:val="normal--char"/>
    <w:basedOn w:val="DefaultParagraphFont"/>
    <w:uiPriority w:val="99"/>
    <w:rsid w:val="007C0B2A"/>
    <w:rPr>
      <w:rFonts w:cs="Times New Roman"/>
    </w:rPr>
  </w:style>
  <w:style w:type="character" w:customStyle="1" w:styleId="textcolumn">
    <w:name w:val="textcolumn"/>
    <w:basedOn w:val="DefaultParagraphFont"/>
    <w:uiPriority w:val="99"/>
    <w:rsid w:val="007C0B2A"/>
    <w:rPr>
      <w:rFonts w:cs="Times New Roman"/>
    </w:rPr>
  </w:style>
  <w:style w:type="numbering" w:styleId="111111">
    <w:name w:val="Outline List 2"/>
    <w:basedOn w:val="NoList"/>
    <w:uiPriority w:val="99"/>
    <w:semiHidden/>
    <w:unhideWhenUsed/>
    <w:locked/>
    <w:rsid w:val="0027735C"/>
    <w:pPr>
      <w:numPr>
        <w:numId w:val="32"/>
      </w:numPr>
    </w:pPr>
  </w:style>
  <w:style w:type="numbering" w:styleId="1ai">
    <w:name w:val="Outline List 1"/>
    <w:basedOn w:val="NoList"/>
    <w:uiPriority w:val="99"/>
    <w:semiHidden/>
    <w:unhideWhenUsed/>
    <w:locked/>
    <w:rsid w:val="0027735C"/>
    <w:pPr>
      <w:numPr>
        <w:numId w:val="33"/>
      </w:numPr>
    </w:pPr>
  </w:style>
  <w:style w:type="numbering" w:styleId="ArticleSection">
    <w:name w:val="Outline List 3"/>
    <w:basedOn w:val="NoList"/>
    <w:uiPriority w:val="99"/>
    <w:semiHidden/>
    <w:unhideWhenUsed/>
    <w:locked/>
    <w:rsid w:val="0027735C"/>
    <w:pPr>
      <w:numPr>
        <w:numId w:val="34"/>
      </w:numPr>
    </w:pPr>
  </w:style>
</w:styles>
</file>

<file path=word/webSettings.xml><?xml version="1.0" encoding="utf-8"?>
<w:webSettings xmlns:r="http://schemas.openxmlformats.org/officeDocument/2006/relationships" xmlns:w="http://schemas.openxmlformats.org/wordprocessingml/2006/main">
  <w:divs>
    <w:div w:id="18619668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21</Pages>
  <Words>5183</Words>
  <Characters>29544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keywords/>
  <dc:description/>
  <cp:lastModifiedBy/>
  <cp:revision>2</cp:revision>
  <dcterms:created xsi:type="dcterms:W3CDTF">2014-11-24T11:28:00Z</dcterms:created>
  <dcterms:modified xsi:type="dcterms:W3CDTF">2014-11-24T11:28:00Z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27516/09</vt:lpwstr>
  </property>
  <property fmtid="{D5CDD505-2E9C-101B-9397-08002B2CF9AE}" pid="4" name="CASEID">
    <vt:lpwstr>573643</vt:lpwstr>
  </property>
  <property fmtid="{D5CDD505-2E9C-101B-9397-08002B2CF9AE}" pid="5" name="OrigTemp">
    <vt:lpwstr>French\Documents\DF01 Decisions et Rapports\Reports automation IT ONLY\Décision.dotx</vt:lpwstr>
  </property>
</Properties>
</file>